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B06" w:rsidRDefault="00673B06" w:rsidP="00673B06">
      <w:pPr>
        <w:suppressLineNumbers/>
        <w:spacing w:after="0" w:line="240" w:lineRule="auto"/>
        <w:jc w:val="center"/>
        <w:rPr>
          <w:rFonts w:ascii="Times New Roman" w:eastAsia="Times New Roman" w:hAnsi="Times New Roman" w:cs="David"/>
          <w:noProof/>
          <w:sz w:val="24"/>
          <w:szCs w:val="24"/>
          <w:rtl/>
        </w:rPr>
      </w:pPr>
      <w:r>
        <w:rPr>
          <w:rFonts w:cs="FrankRuehl"/>
          <w:noProof/>
          <w:sz w:val="28"/>
          <w:szCs w:val="28"/>
        </w:rPr>
        <w:drawing>
          <wp:inline distT="0" distB="0" distL="0" distR="0" wp14:anchorId="78A2FDDB" wp14:editId="1FF1C1A8">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673B06" w:rsidRDefault="00673B06" w:rsidP="00673B06">
      <w:pPr>
        <w:suppressLineNumbers/>
        <w:spacing w:after="0" w:line="240" w:lineRule="auto"/>
        <w:jc w:val="center"/>
        <w:rPr>
          <w:rFonts w:ascii="Times New Roman" w:eastAsia="Times New Roman" w:hAnsi="Times New Roman" w:cs="David"/>
          <w:noProof/>
          <w:sz w:val="24"/>
          <w:szCs w:val="24"/>
          <w:rtl/>
        </w:rPr>
      </w:pPr>
    </w:p>
    <w:sdt>
      <w:sdtPr>
        <w:rPr>
          <w:rFonts w:ascii="Tahoma" w:hAnsi="Tahoma"/>
          <w:color w:val="000080"/>
          <w:sz w:val="32"/>
          <w:szCs w:val="32"/>
          <w:rtl/>
        </w:rPr>
        <w:alias w:val="1174"/>
        <w:tag w:val="1174"/>
        <w:id w:val="-1585920285"/>
        <w:text w:multiLine="1"/>
      </w:sdtPr>
      <w:sdtEndPr/>
      <w:sdtContent>
        <w:p w:rsidR="00673B06" w:rsidRDefault="00673B06" w:rsidP="00673B06">
          <w:pPr>
            <w:suppressLineNumbers/>
            <w:spacing w:after="0" w:line="240" w:lineRule="auto"/>
            <w:jc w:val="center"/>
            <w:rPr>
              <w:rFonts w:ascii="Times New Roman" w:eastAsia="Times New Roman" w:hAnsi="Times New Roman" w:cs="David"/>
              <w:noProof/>
              <w:sz w:val="24"/>
              <w:szCs w:val="24"/>
              <w:rtl/>
            </w:rPr>
          </w:pPr>
          <w:r w:rsidRPr="00F038D8">
            <w:rPr>
              <w:rFonts w:ascii="Tahoma" w:hAnsi="Tahoma"/>
              <w:color w:val="000080"/>
              <w:sz w:val="32"/>
              <w:szCs w:val="32"/>
              <w:rtl/>
            </w:rPr>
            <w:t>בית המשפט המחוזי בבאר שבע</w:t>
          </w:r>
        </w:p>
      </w:sdtContent>
    </w:sdt>
    <w:p w:rsidR="00673B06" w:rsidRDefault="00673B06" w:rsidP="00673B06">
      <w:pPr>
        <w:suppressLineNumbers/>
        <w:spacing w:after="0" w:line="240" w:lineRule="auto"/>
        <w:rPr>
          <w:rFonts w:ascii="Times New Roman" w:eastAsia="Times New Roman" w:hAnsi="Times New Roman" w:cs="David"/>
          <w:noProof/>
          <w:sz w:val="24"/>
          <w:szCs w:val="24"/>
          <w:rtl/>
        </w:rPr>
      </w:pPr>
    </w:p>
    <w:p w:rsidR="00673B06" w:rsidRDefault="00673B06" w:rsidP="00673B06">
      <w:pPr>
        <w:suppressLineNumbers/>
        <w:spacing w:after="0" w:line="240" w:lineRule="auto"/>
        <w:rPr>
          <w:rFonts w:ascii="Times New Roman" w:eastAsia="Times New Roman" w:hAnsi="Times New Roman" w:cs="David"/>
          <w:noProof/>
          <w:sz w:val="24"/>
          <w:szCs w:val="24"/>
          <w:rtl/>
        </w:rPr>
      </w:pPr>
    </w:p>
    <w:p w:rsidR="00673B06" w:rsidRDefault="00673B06" w:rsidP="00673B06">
      <w:pPr>
        <w:suppressLineNumbers/>
        <w:spacing w:after="0" w:line="240" w:lineRule="auto"/>
        <w:rPr>
          <w:rFonts w:ascii="Times New Roman" w:eastAsia="Times New Roman" w:hAnsi="Times New Roman" w:cs="David"/>
          <w:noProof/>
          <w:sz w:val="24"/>
          <w:szCs w:val="24"/>
          <w:rtl/>
        </w:rPr>
      </w:pPr>
    </w:p>
    <w:p w:rsidR="00673B06" w:rsidRDefault="00673B06" w:rsidP="00673B06">
      <w:pPr>
        <w:suppressLineNumbers/>
        <w:spacing w:after="0" w:line="240" w:lineRule="auto"/>
        <w:rPr>
          <w:rFonts w:ascii="Times New Roman" w:eastAsia="Times New Roman" w:hAnsi="Times New Roman" w:cs="David"/>
          <w:noProof/>
          <w:sz w:val="24"/>
          <w:szCs w:val="24"/>
          <w:rtl/>
        </w:rPr>
      </w:pPr>
    </w:p>
    <w:p w:rsidR="00673B06" w:rsidRPr="00673B06" w:rsidRDefault="00673B06" w:rsidP="00673B06">
      <w:pPr>
        <w:rPr>
          <w:rFonts w:ascii="Times New Roman" w:eastAsia="Times New Roman" w:hAnsi="Times New Roman" w:cs="David"/>
          <w:b/>
          <w:bCs/>
          <w:noProof/>
          <w:sz w:val="26"/>
          <w:szCs w:val="26"/>
          <w:rtl/>
        </w:rPr>
      </w:pPr>
      <w:r w:rsidRPr="00673B06">
        <w:rPr>
          <w:rFonts w:ascii="Times New Roman" w:eastAsia="Times New Roman" w:hAnsi="Times New Roman" w:cs="David"/>
          <w:b/>
          <w:bCs/>
          <w:noProof/>
          <w:sz w:val="26"/>
          <w:szCs w:val="26"/>
          <w:rtl/>
        </w:rPr>
        <w:t xml:space="preserve">רמ"ש </w:t>
      </w:r>
      <w:bookmarkStart w:id="0" w:name="_GoBack"/>
      <w:r w:rsidRPr="00673B06">
        <w:rPr>
          <w:rFonts w:ascii="Times New Roman" w:eastAsia="Times New Roman" w:hAnsi="Times New Roman" w:cs="David"/>
          <w:b/>
          <w:bCs/>
          <w:noProof/>
          <w:sz w:val="26"/>
          <w:szCs w:val="26"/>
          <w:rtl/>
        </w:rPr>
        <w:t>52882-05-</w:t>
      </w:r>
      <w:bookmarkEnd w:id="0"/>
      <w:r w:rsidRPr="00673B06">
        <w:rPr>
          <w:rFonts w:ascii="Times New Roman" w:eastAsia="Times New Roman" w:hAnsi="Times New Roman" w:cs="David"/>
          <w:b/>
          <w:bCs/>
          <w:noProof/>
          <w:sz w:val="26"/>
          <w:szCs w:val="26"/>
          <w:rtl/>
        </w:rPr>
        <w:t xml:space="preserve">24 </w:t>
      </w:r>
      <w:r>
        <w:rPr>
          <w:rFonts w:ascii="Times New Roman" w:eastAsia="Times New Roman" w:hAnsi="Times New Roman" w:cs="David" w:hint="cs"/>
          <w:b/>
          <w:bCs/>
          <w:noProof/>
          <w:sz w:val="26"/>
          <w:szCs w:val="26"/>
          <w:rtl/>
        </w:rPr>
        <w:t>פלונית</w:t>
      </w:r>
      <w:r w:rsidRPr="00673B06">
        <w:rPr>
          <w:rFonts w:ascii="Times New Roman" w:eastAsia="Times New Roman" w:hAnsi="Times New Roman" w:cs="David"/>
          <w:b/>
          <w:bCs/>
          <w:noProof/>
          <w:sz w:val="26"/>
          <w:szCs w:val="26"/>
          <w:rtl/>
        </w:rPr>
        <w:t xml:space="preserve"> נ' </w:t>
      </w:r>
      <w:r>
        <w:rPr>
          <w:rFonts w:ascii="Times New Roman" w:eastAsia="Times New Roman" w:hAnsi="Times New Roman" w:cs="David" w:hint="cs"/>
          <w:b/>
          <w:bCs/>
          <w:noProof/>
          <w:sz w:val="26"/>
          <w:szCs w:val="26"/>
          <w:rtl/>
        </w:rPr>
        <w:t>פלוני</w:t>
      </w:r>
    </w:p>
    <w:p w:rsidR="00673B06" w:rsidRDefault="00673B06" w:rsidP="00673B06">
      <w:pPr>
        <w:suppressLineNumbers/>
        <w:spacing w:after="0" w:line="240" w:lineRule="auto"/>
        <w:rPr>
          <w:rFonts w:ascii="Times New Roman" w:eastAsia="Times New Roman" w:hAnsi="Times New Roman" w:cs="David"/>
          <w:noProof/>
          <w:sz w:val="24"/>
          <w:szCs w:val="24"/>
          <w:rtl/>
        </w:rPr>
      </w:pPr>
    </w:p>
    <w:p w:rsidR="00673B06" w:rsidRPr="00673B06" w:rsidRDefault="00673B06" w:rsidP="00673B06">
      <w:pPr>
        <w:suppressLineNumbers/>
        <w:spacing w:after="0" w:line="240" w:lineRule="auto"/>
        <w:rPr>
          <w:rFonts w:ascii="Times New Roman" w:eastAsia="Times New Roman" w:hAnsi="Times New Roman" w:cs="David"/>
          <w:noProof/>
          <w:sz w:val="24"/>
          <w:szCs w:val="24"/>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73B06" w:rsidRPr="00673B06" w:rsidTr="00522F7B">
        <w:trPr>
          <w:jc w:val="center"/>
        </w:trPr>
        <w:tc>
          <w:tcPr>
            <w:tcW w:w="743" w:type="dxa"/>
          </w:tcPr>
          <w:p w:rsidR="00673B06" w:rsidRPr="00673B06" w:rsidRDefault="00673B06" w:rsidP="00673B06">
            <w:pPr>
              <w:suppressLineNumbers/>
              <w:jc w:val="both"/>
              <w:rPr>
                <w:rFonts w:ascii="Arial" w:hAnsi="Arial" w:cs="David"/>
                <w:b/>
                <w:bCs/>
                <w:noProof/>
                <w:sz w:val="26"/>
                <w:szCs w:val="26"/>
                <w:rtl/>
              </w:rPr>
            </w:pPr>
            <w:r w:rsidRPr="00673B06">
              <w:rPr>
                <w:rFonts w:ascii="Arial" w:hAnsi="Arial" w:cs="David" w:hint="cs"/>
                <w:b/>
                <w:bCs/>
                <w:noProof/>
                <w:sz w:val="26"/>
                <w:szCs w:val="26"/>
                <w:rtl/>
              </w:rPr>
              <w:t>ל</w:t>
            </w:r>
            <w:r w:rsidRPr="00673B06">
              <w:rPr>
                <w:rFonts w:ascii="Arial" w:hAnsi="Arial" w:cs="David"/>
                <w:b/>
                <w:bCs/>
                <w:noProof/>
                <w:sz w:val="26"/>
                <w:szCs w:val="26"/>
                <w:rtl/>
              </w:rPr>
              <w:t xml:space="preserve">פני </w:t>
            </w:r>
          </w:p>
        </w:tc>
        <w:tc>
          <w:tcPr>
            <w:tcW w:w="8077" w:type="dxa"/>
            <w:gridSpan w:val="2"/>
          </w:tcPr>
          <w:p w:rsidR="00673B06" w:rsidRPr="00673B06" w:rsidRDefault="00673B06" w:rsidP="00673B06">
            <w:pPr>
              <w:suppressLineNumbers/>
              <w:rPr>
                <w:rFonts w:ascii="Arial" w:hAnsi="Arial" w:cs="David"/>
                <w:b/>
                <w:bCs/>
                <w:noProof/>
                <w:sz w:val="26"/>
                <w:szCs w:val="26"/>
                <w:rtl/>
              </w:rPr>
            </w:pPr>
            <w:r w:rsidRPr="00673B06">
              <w:rPr>
                <w:rFonts w:ascii="Arial" w:hAnsi="Arial" w:cs="David" w:hint="cs"/>
                <w:b/>
                <w:bCs/>
                <w:noProof/>
                <w:sz w:val="26"/>
                <w:szCs w:val="26"/>
                <w:rtl/>
              </w:rPr>
              <w:t>כבוד ה</w:t>
            </w:r>
            <w:sdt>
              <w:sdtPr>
                <w:rPr>
                  <w:rFonts w:cs="David"/>
                  <w:b/>
                  <w:bCs/>
                  <w:noProof/>
                  <w:sz w:val="26"/>
                  <w:szCs w:val="26"/>
                  <w:rtl/>
                </w:rPr>
                <w:alias w:val="1574"/>
                <w:tag w:val="1574"/>
                <w:id w:val="414602899"/>
                <w:text w:multiLine="1"/>
              </w:sdtPr>
              <w:sdtEndPr/>
              <w:sdtContent>
                <w:r w:rsidRPr="00673B06">
                  <w:rPr>
                    <w:rFonts w:cs="David"/>
                    <w:b/>
                    <w:bCs/>
                    <w:noProof/>
                    <w:sz w:val="26"/>
                    <w:szCs w:val="26"/>
                    <w:rtl/>
                  </w:rPr>
                  <w:t>שופטת</w:t>
                </w:r>
              </w:sdtContent>
            </w:sdt>
            <w:r w:rsidRPr="00673B06">
              <w:rPr>
                <w:rFonts w:ascii="Arial" w:hAnsi="Arial" w:cs="David" w:hint="cs"/>
                <w:b/>
                <w:bCs/>
                <w:noProof/>
                <w:sz w:val="26"/>
                <w:szCs w:val="26"/>
                <w:rtl/>
              </w:rPr>
              <w:t xml:space="preserve"> </w:t>
            </w:r>
            <w:sdt>
              <w:sdtPr>
                <w:rPr>
                  <w:rFonts w:cs="David"/>
                  <w:b/>
                  <w:bCs/>
                  <w:noProof/>
                  <w:sz w:val="26"/>
                  <w:szCs w:val="26"/>
                  <w:rtl/>
                </w:rPr>
                <w:alias w:val="1573"/>
                <w:tag w:val="1573"/>
                <w:id w:val="-1751030614"/>
                <w:text w:multiLine="1"/>
              </w:sdtPr>
              <w:sdtEndPr/>
              <w:sdtContent>
                <w:r w:rsidRPr="00673B06">
                  <w:rPr>
                    <w:rFonts w:cs="David"/>
                    <w:b/>
                    <w:bCs/>
                    <w:noProof/>
                    <w:sz w:val="26"/>
                    <w:szCs w:val="26"/>
                    <w:rtl/>
                  </w:rPr>
                  <w:t>פאני גילת כהן</w:t>
                </w:r>
              </w:sdtContent>
            </w:sdt>
          </w:p>
          <w:p w:rsidR="00673B06" w:rsidRPr="00673B06" w:rsidRDefault="00673B06" w:rsidP="00673B06">
            <w:pPr>
              <w:suppressLineNumbers/>
              <w:rPr>
                <w:rFonts w:cs="David"/>
                <w:b/>
                <w:bCs/>
                <w:noProof/>
                <w:sz w:val="26"/>
                <w:szCs w:val="26"/>
              </w:rPr>
            </w:pPr>
          </w:p>
        </w:tc>
      </w:tr>
      <w:tr w:rsidR="00673B06" w:rsidRPr="00673B06" w:rsidTr="00522F7B">
        <w:trPr>
          <w:jc w:val="center"/>
        </w:trPr>
        <w:tc>
          <w:tcPr>
            <w:tcW w:w="3249" w:type="dxa"/>
            <w:gridSpan w:val="2"/>
          </w:tcPr>
          <w:p w:rsidR="00673B06" w:rsidRPr="00673B06" w:rsidRDefault="00673B06" w:rsidP="00673B06">
            <w:pPr>
              <w:suppressLineNumbers/>
              <w:rPr>
                <w:rFonts w:cs="David"/>
                <w:noProof/>
                <w:sz w:val="24"/>
                <w:szCs w:val="24"/>
                <w:rtl/>
              </w:rPr>
            </w:pPr>
          </w:p>
          <w:sdt>
            <w:sdtPr>
              <w:rPr>
                <w:rFonts w:cs="David"/>
                <w:b/>
                <w:bCs/>
                <w:noProof/>
                <w:sz w:val="24"/>
                <w:szCs w:val="24"/>
                <w:rtl/>
              </w:rPr>
              <w:alias w:val="1180"/>
              <w:tag w:val="1180"/>
              <w:id w:val="637458750"/>
              <w:text w:multiLine="1"/>
            </w:sdtPr>
            <w:sdtEndPr/>
            <w:sdtContent>
              <w:p w:rsidR="00673B06" w:rsidRPr="00673B06" w:rsidRDefault="00673B06" w:rsidP="00673B06">
                <w:pPr>
                  <w:suppressLineNumbers/>
                  <w:rPr>
                    <w:rFonts w:ascii="Arial" w:hAnsi="Arial" w:cs="David"/>
                    <w:b/>
                    <w:bCs/>
                    <w:sz w:val="26"/>
                    <w:szCs w:val="26"/>
                    <w:rtl/>
                  </w:rPr>
                </w:pPr>
                <w:r w:rsidRPr="00673B06">
                  <w:rPr>
                    <w:rFonts w:cs="David" w:hint="cs"/>
                    <w:b/>
                    <w:bCs/>
                    <w:noProof/>
                    <w:sz w:val="24"/>
                    <w:szCs w:val="24"/>
                    <w:rtl/>
                  </w:rPr>
                  <w:t>המבקשת</w:t>
                </w:r>
              </w:p>
            </w:sdtContent>
          </w:sdt>
        </w:tc>
        <w:tc>
          <w:tcPr>
            <w:tcW w:w="5571" w:type="dxa"/>
          </w:tcPr>
          <w:p w:rsidR="00673B06" w:rsidRPr="00673B06" w:rsidRDefault="00673B06" w:rsidP="00673B06">
            <w:pPr>
              <w:suppressLineNumbers/>
              <w:rPr>
                <w:rFonts w:cs="David"/>
                <w:noProof/>
                <w:sz w:val="24"/>
                <w:szCs w:val="24"/>
                <w:rtl/>
              </w:rPr>
            </w:pPr>
          </w:p>
          <w:p w:rsidR="00673B06" w:rsidRPr="00673B06" w:rsidRDefault="001340AB" w:rsidP="00673B06">
            <w:pPr>
              <w:suppressLineNumbers/>
              <w:rPr>
                <w:rFonts w:cs="David"/>
                <w:b/>
                <w:bCs/>
                <w:sz w:val="26"/>
                <w:szCs w:val="26"/>
              </w:rPr>
            </w:pPr>
            <w:sdt>
              <w:sdtPr>
                <w:rPr>
                  <w:rFonts w:ascii="Arial" w:hAnsi="Arial" w:cs="David"/>
                  <w:b/>
                  <w:bCs/>
                  <w:sz w:val="26"/>
                  <w:szCs w:val="26"/>
                  <w:rtl/>
                </w:rPr>
                <w:alias w:val="3151"/>
                <w:tag w:val="3151"/>
                <w:id w:val="1166218717"/>
                <w:placeholder>
                  <w:docPart w:val="53128A1DD4FB430B92ACAB5D285711F4"/>
                </w:placeholder>
                <w:text w:multiLine="1"/>
              </w:sdtPr>
              <w:sdtEndPr/>
              <w:sdtContent>
                <w:r w:rsidR="00673B06">
                  <w:rPr>
                    <w:rFonts w:ascii="Arial" w:hAnsi="Arial" w:cs="David" w:hint="cs"/>
                    <w:b/>
                    <w:bCs/>
                    <w:sz w:val="26"/>
                    <w:szCs w:val="26"/>
                    <w:rtl/>
                  </w:rPr>
                  <w:t>פלונית</w:t>
                </w:r>
                <w:r w:rsidR="00673B06" w:rsidRPr="00673B06">
                  <w:rPr>
                    <w:rFonts w:ascii="Arial" w:hAnsi="Arial" w:cs="David"/>
                    <w:b/>
                    <w:bCs/>
                    <w:sz w:val="26"/>
                    <w:szCs w:val="26"/>
                    <w:rtl/>
                  </w:rPr>
                  <w:br/>
                </w:r>
                <w:r w:rsidR="00673B06" w:rsidRPr="00673B06">
                  <w:rPr>
                    <w:rFonts w:ascii="Arial" w:hAnsi="Arial" w:cs="David" w:hint="cs"/>
                    <w:b/>
                    <w:bCs/>
                    <w:sz w:val="26"/>
                    <w:szCs w:val="26"/>
                    <w:rtl/>
                  </w:rPr>
                  <w:t>באמצעות ב"כ עו"ד ניסים שלם</w:t>
                </w:r>
              </w:sdtContent>
            </w:sdt>
          </w:p>
        </w:tc>
      </w:tr>
      <w:tr w:rsidR="00673B06" w:rsidRPr="00673B06" w:rsidTr="00522F7B">
        <w:trPr>
          <w:jc w:val="center"/>
        </w:trPr>
        <w:tc>
          <w:tcPr>
            <w:tcW w:w="8820" w:type="dxa"/>
            <w:gridSpan w:val="3"/>
          </w:tcPr>
          <w:p w:rsidR="00673B06" w:rsidRPr="00673B06" w:rsidRDefault="00673B06" w:rsidP="00673B06">
            <w:pPr>
              <w:suppressLineNumbers/>
              <w:rPr>
                <w:rFonts w:ascii="Arial" w:hAnsi="Arial" w:cs="David"/>
                <w:b/>
                <w:bCs/>
                <w:sz w:val="26"/>
                <w:szCs w:val="26"/>
                <w:rtl/>
              </w:rPr>
            </w:pPr>
          </w:p>
          <w:p w:rsidR="00673B06" w:rsidRPr="00673B06" w:rsidRDefault="00673B06" w:rsidP="00673B06">
            <w:pPr>
              <w:suppressLineNumbers/>
              <w:jc w:val="center"/>
              <w:rPr>
                <w:rFonts w:ascii="Arial" w:hAnsi="Arial" w:cs="David"/>
                <w:b/>
                <w:bCs/>
                <w:sz w:val="26"/>
                <w:szCs w:val="26"/>
              </w:rPr>
            </w:pPr>
          </w:p>
        </w:tc>
      </w:tr>
      <w:tr w:rsidR="00673B06" w:rsidRPr="00673B06" w:rsidTr="00522F7B">
        <w:trPr>
          <w:jc w:val="center"/>
        </w:trPr>
        <w:tc>
          <w:tcPr>
            <w:tcW w:w="3249" w:type="dxa"/>
            <w:gridSpan w:val="2"/>
          </w:tcPr>
          <w:p w:rsidR="00673B06" w:rsidRPr="00673B06" w:rsidRDefault="001340AB" w:rsidP="00673B06">
            <w:pPr>
              <w:suppressLineNumbers/>
              <w:rPr>
                <w:rFonts w:ascii="Arial" w:hAnsi="Arial" w:cs="David"/>
                <w:b/>
                <w:bCs/>
                <w:sz w:val="26"/>
                <w:szCs w:val="26"/>
              </w:rPr>
            </w:pPr>
            <w:sdt>
              <w:sdtPr>
                <w:rPr>
                  <w:rFonts w:cs="David"/>
                  <w:b/>
                  <w:bCs/>
                  <w:noProof/>
                  <w:sz w:val="24"/>
                  <w:szCs w:val="24"/>
                  <w:rtl/>
                </w:rPr>
                <w:alias w:val="1184"/>
                <w:tag w:val="1184"/>
                <w:id w:val="-340621022"/>
                <w:text w:multiLine="1"/>
              </w:sdtPr>
              <w:sdtEndPr/>
              <w:sdtContent>
                <w:r w:rsidR="00673B06" w:rsidRPr="00673B06">
                  <w:rPr>
                    <w:rFonts w:cs="David" w:hint="cs"/>
                    <w:b/>
                    <w:bCs/>
                    <w:noProof/>
                    <w:sz w:val="24"/>
                    <w:szCs w:val="24"/>
                    <w:rtl/>
                  </w:rPr>
                  <w:t>המשיב</w:t>
                </w:r>
              </w:sdtContent>
            </w:sdt>
          </w:p>
        </w:tc>
        <w:tc>
          <w:tcPr>
            <w:tcW w:w="5571" w:type="dxa"/>
          </w:tcPr>
          <w:p w:rsidR="00673B06" w:rsidRPr="00673B06" w:rsidRDefault="001340AB" w:rsidP="00673B06">
            <w:pPr>
              <w:suppressLineNumbers/>
              <w:rPr>
                <w:rFonts w:ascii="Arial" w:hAnsi="Arial" w:cs="David"/>
                <w:b/>
                <w:bCs/>
                <w:sz w:val="26"/>
                <w:szCs w:val="26"/>
                <w:rtl/>
              </w:rPr>
            </w:pPr>
            <w:sdt>
              <w:sdtPr>
                <w:rPr>
                  <w:rFonts w:ascii="Arial" w:hAnsi="Arial" w:cs="David"/>
                  <w:b/>
                  <w:bCs/>
                  <w:sz w:val="26"/>
                  <w:szCs w:val="26"/>
                  <w:rtl/>
                </w:rPr>
                <w:alias w:val="3152"/>
                <w:tag w:val="3152"/>
                <w:id w:val="-1346628691"/>
                <w:placeholder>
                  <w:docPart w:val="F41E0ABEC7B24983A7B930A94A86C20B"/>
                </w:placeholder>
                <w:text w:multiLine="1"/>
              </w:sdtPr>
              <w:sdtEndPr/>
              <w:sdtContent>
                <w:r w:rsidR="00673B06">
                  <w:rPr>
                    <w:rFonts w:ascii="Arial" w:hAnsi="Arial" w:cs="David" w:hint="cs"/>
                    <w:b/>
                    <w:bCs/>
                    <w:sz w:val="26"/>
                    <w:szCs w:val="26"/>
                    <w:rtl/>
                  </w:rPr>
                  <w:t>פלוני</w:t>
                </w:r>
                <w:r w:rsidR="00673B06" w:rsidRPr="00673B06">
                  <w:rPr>
                    <w:rFonts w:ascii="Arial" w:hAnsi="Arial" w:cs="David"/>
                    <w:b/>
                    <w:bCs/>
                    <w:sz w:val="26"/>
                    <w:szCs w:val="26"/>
                    <w:rtl/>
                  </w:rPr>
                  <w:br/>
                </w:r>
                <w:r w:rsidR="00673B06" w:rsidRPr="00673B06">
                  <w:rPr>
                    <w:rFonts w:ascii="Arial" w:hAnsi="Arial" w:cs="David" w:hint="cs"/>
                    <w:b/>
                    <w:bCs/>
                    <w:sz w:val="26"/>
                    <w:szCs w:val="26"/>
                    <w:rtl/>
                  </w:rPr>
                  <w:t xml:space="preserve">באמצעות ב"כ עו"ד גיל </w:t>
                </w:r>
                <w:proofErr w:type="spellStart"/>
                <w:r w:rsidR="00673B06" w:rsidRPr="00673B06">
                  <w:rPr>
                    <w:rFonts w:ascii="Arial" w:hAnsi="Arial" w:cs="David" w:hint="cs"/>
                    <w:b/>
                    <w:bCs/>
                    <w:sz w:val="26"/>
                    <w:szCs w:val="26"/>
                    <w:rtl/>
                  </w:rPr>
                  <w:t>ורגון</w:t>
                </w:r>
                <w:proofErr w:type="spellEnd"/>
                <w:r w:rsidR="00673B06" w:rsidRPr="00673B06">
                  <w:rPr>
                    <w:rFonts w:ascii="Arial" w:hAnsi="Arial" w:cs="David" w:hint="cs"/>
                    <w:b/>
                    <w:bCs/>
                    <w:sz w:val="26"/>
                    <w:szCs w:val="26"/>
                    <w:rtl/>
                  </w:rPr>
                  <w:t xml:space="preserve"> ואח'</w:t>
                </w:r>
              </w:sdtContent>
            </w:sdt>
          </w:p>
        </w:tc>
      </w:tr>
      <w:tr w:rsidR="00673B06" w:rsidRPr="00673B06" w:rsidTr="00522F7B">
        <w:trPr>
          <w:jc w:val="center"/>
        </w:trPr>
        <w:tc>
          <w:tcPr>
            <w:tcW w:w="8820" w:type="dxa"/>
            <w:gridSpan w:val="3"/>
          </w:tcPr>
          <w:p w:rsidR="00673B06" w:rsidRPr="00673B06" w:rsidRDefault="00673B06" w:rsidP="00673B06">
            <w:pPr>
              <w:suppressLineNumbers/>
              <w:rPr>
                <w:rFonts w:cs="David"/>
                <w:noProof/>
                <w:sz w:val="24"/>
                <w:szCs w:val="24"/>
                <w:rtl/>
              </w:rPr>
            </w:pPr>
          </w:p>
        </w:tc>
      </w:tr>
      <w:tr w:rsidR="00673B06" w:rsidRPr="00673B06" w:rsidTr="00522F7B">
        <w:trPr>
          <w:jc w:val="center"/>
        </w:trPr>
        <w:tc>
          <w:tcPr>
            <w:tcW w:w="3249" w:type="dxa"/>
            <w:gridSpan w:val="2"/>
          </w:tcPr>
          <w:p w:rsidR="00673B06" w:rsidRPr="00673B06" w:rsidRDefault="00673B06" w:rsidP="00673B06">
            <w:pPr>
              <w:rPr>
                <w:rFonts w:ascii="David" w:eastAsia="David" w:hAnsi="David" w:cs="David"/>
                <w:b/>
                <w:bCs/>
                <w:sz w:val="24"/>
                <w:szCs w:val="24"/>
              </w:rPr>
            </w:pPr>
          </w:p>
        </w:tc>
        <w:tc>
          <w:tcPr>
            <w:tcW w:w="5571" w:type="dxa"/>
          </w:tcPr>
          <w:p w:rsidR="00673B06" w:rsidRPr="00673B06" w:rsidRDefault="00673B06" w:rsidP="00673B06">
            <w:pPr>
              <w:rPr>
                <w:rFonts w:cs="David"/>
                <w:b/>
                <w:bCs/>
                <w:noProof/>
                <w:sz w:val="26"/>
                <w:szCs w:val="26"/>
              </w:rPr>
            </w:pPr>
          </w:p>
        </w:tc>
      </w:tr>
    </w:tbl>
    <w:p w:rsidR="00673B06" w:rsidRPr="00673B06" w:rsidRDefault="00673B06" w:rsidP="00673B06">
      <w:pPr>
        <w:suppressLineNumbers/>
        <w:spacing w:after="0" w:line="240" w:lineRule="auto"/>
        <w:rPr>
          <w:rFonts w:ascii="Times New Roman" w:eastAsia="Times New Roman" w:hAnsi="Times New Roman" w:cs="David"/>
          <w:noProof/>
          <w:sz w:val="24"/>
          <w:szCs w:val="24"/>
          <w:rtl/>
        </w:rPr>
      </w:pPr>
    </w:p>
    <w:tbl>
      <w:tblPr>
        <w:tblStyle w:val="a3"/>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673B06" w:rsidRPr="00673B06" w:rsidTr="00522F7B">
        <w:trPr>
          <w:jc w:val="center"/>
        </w:trPr>
        <w:tc>
          <w:tcPr>
            <w:tcW w:w="9036" w:type="dxa"/>
          </w:tcPr>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73B06" w:rsidRPr="00673B06" w:rsidTr="00522F7B">
              <w:trPr>
                <w:jc w:val="center"/>
              </w:trPr>
              <w:tc>
                <w:tcPr>
                  <w:tcW w:w="8820" w:type="dxa"/>
                </w:tcPr>
                <w:p w:rsidR="00673B06" w:rsidRPr="00673B06" w:rsidRDefault="00673B06" w:rsidP="00673B06">
                  <w:pPr>
                    <w:bidi w:val="0"/>
                    <w:jc w:val="center"/>
                    <w:rPr>
                      <w:rFonts w:ascii="Arial" w:hAnsi="Arial" w:cs="David"/>
                      <w:b/>
                      <w:bCs/>
                      <w:sz w:val="32"/>
                      <w:szCs w:val="32"/>
                      <w:u w:val="single"/>
                      <w:rtl/>
                    </w:rPr>
                  </w:pPr>
                  <w:r>
                    <w:rPr>
                      <w:rFonts w:ascii="Arial" w:hAnsi="Arial" w:cs="David" w:hint="cs"/>
                      <w:b/>
                      <w:bCs/>
                      <w:sz w:val="32"/>
                      <w:szCs w:val="32"/>
                      <w:u w:val="single"/>
                      <w:rtl/>
                    </w:rPr>
                    <w:t>פסק דין</w:t>
                  </w:r>
                </w:p>
                <w:p w:rsidR="00673B06" w:rsidRPr="00673B06" w:rsidRDefault="00673B06" w:rsidP="00673B06">
                  <w:pPr>
                    <w:bidi w:val="0"/>
                    <w:jc w:val="center"/>
                    <w:rPr>
                      <w:rFonts w:ascii="Arial" w:hAnsi="Arial" w:cs="David"/>
                      <w:b/>
                      <w:bCs/>
                      <w:sz w:val="28"/>
                      <w:szCs w:val="28"/>
                      <w:u w:val="single"/>
                    </w:rPr>
                  </w:pPr>
                </w:p>
              </w:tc>
            </w:tr>
          </w:tbl>
          <w:p w:rsidR="00673B06" w:rsidRPr="00673B06" w:rsidRDefault="00673B06" w:rsidP="00673B06">
            <w:pPr>
              <w:spacing w:line="360" w:lineRule="auto"/>
              <w:ind w:left="85"/>
              <w:contextualSpacing/>
              <w:jc w:val="both"/>
              <w:rPr>
                <w:rFonts w:ascii="Arial" w:hAnsi="Arial" w:cs="David"/>
                <w:sz w:val="24"/>
                <w:szCs w:val="24"/>
                <w:rtl/>
              </w:rPr>
            </w:pPr>
            <w:r w:rsidRPr="00673B06">
              <w:rPr>
                <w:rFonts w:ascii="Arial" w:hAnsi="Arial" w:cs="David" w:hint="cs"/>
                <w:sz w:val="24"/>
                <w:szCs w:val="24"/>
                <w:rtl/>
              </w:rPr>
              <w:t xml:space="preserve">מונחת לפניי </w:t>
            </w:r>
            <w:r w:rsidRPr="00673B06">
              <w:rPr>
                <w:rFonts w:ascii="Arial" w:hAnsi="Arial" w:cs="David"/>
                <w:sz w:val="24"/>
                <w:szCs w:val="24"/>
                <w:rtl/>
              </w:rPr>
              <w:t xml:space="preserve">בקשת רשות ערעור </w:t>
            </w:r>
            <w:r w:rsidRPr="00673B06">
              <w:rPr>
                <w:rFonts w:ascii="Arial" w:hAnsi="Arial" w:cs="David" w:hint="cs"/>
                <w:sz w:val="24"/>
                <w:szCs w:val="24"/>
                <w:rtl/>
              </w:rPr>
              <w:t>על</w:t>
            </w:r>
            <w:r w:rsidRPr="00673B06">
              <w:rPr>
                <w:rFonts w:ascii="Arial" w:hAnsi="Arial" w:cs="David"/>
                <w:sz w:val="24"/>
                <w:szCs w:val="24"/>
                <w:rtl/>
              </w:rPr>
              <w:t xml:space="preserve"> החלטת בית המשפט לענייני משפחה ב</w:t>
            </w:r>
            <w:r w:rsidRPr="00673B06">
              <w:rPr>
                <w:rFonts w:ascii="Arial" w:hAnsi="Arial" w:cs="David" w:hint="cs"/>
                <w:sz w:val="24"/>
                <w:szCs w:val="24"/>
                <w:rtl/>
              </w:rPr>
              <w:t>אילת</w:t>
            </w:r>
            <w:r w:rsidRPr="00673B06">
              <w:rPr>
                <w:rFonts w:ascii="Arial" w:hAnsi="Arial" w:cs="David"/>
                <w:sz w:val="24"/>
                <w:szCs w:val="24"/>
                <w:rtl/>
              </w:rPr>
              <w:t xml:space="preserve"> </w:t>
            </w:r>
            <w:r w:rsidRPr="00673B06">
              <w:rPr>
                <w:rFonts w:ascii="Arial" w:hAnsi="Arial" w:cs="David" w:hint="cs"/>
                <w:sz w:val="24"/>
                <w:szCs w:val="24"/>
                <w:rtl/>
              </w:rPr>
              <w:t xml:space="preserve">מיום 15.04.2024 שניתנה </w:t>
            </w:r>
            <w:r w:rsidRPr="00673B06">
              <w:rPr>
                <w:rFonts w:ascii="Arial" w:hAnsi="Arial" w:cs="David"/>
                <w:sz w:val="24"/>
                <w:szCs w:val="24"/>
                <w:rtl/>
              </w:rPr>
              <w:t>ב</w:t>
            </w:r>
            <w:r w:rsidRPr="00673B06">
              <w:rPr>
                <w:rFonts w:ascii="Arial" w:hAnsi="Arial" w:cs="David" w:hint="cs"/>
                <w:sz w:val="24"/>
                <w:szCs w:val="24"/>
                <w:rtl/>
              </w:rPr>
              <w:t>-</w:t>
            </w:r>
            <w:proofErr w:type="spellStart"/>
            <w:r w:rsidRPr="00673B06">
              <w:rPr>
                <w:rFonts w:ascii="Arial" w:hAnsi="Arial" w:cs="David" w:hint="cs"/>
                <w:sz w:val="24"/>
                <w:szCs w:val="24"/>
                <w:rtl/>
              </w:rPr>
              <w:t>תה"ס</w:t>
            </w:r>
            <w:proofErr w:type="spellEnd"/>
            <w:r w:rsidRPr="00673B06">
              <w:rPr>
                <w:rFonts w:ascii="Arial" w:hAnsi="Arial" w:cs="David"/>
                <w:sz w:val="24"/>
                <w:szCs w:val="24"/>
                <w:rtl/>
              </w:rPr>
              <w:t xml:space="preserve"> </w:t>
            </w:r>
            <w:r w:rsidRPr="00673B06">
              <w:rPr>
                <w:rFonts w:ascii="Arial" w:hAnsi="Arial" w:cs="David" w:hint="cs"/>
                <w:sz w:val="24"/>
                <w:szCs w:val="24"/>
                <w:rtl/>
              </w:rPr>
              <w:t>31083</w:t>
            </w:r>
            <w:r w:rsidRPr="00673B06">
              <w:rPr>
                <w:rFonts w:ascii="Arial" w:hAnsi="Arial" w:cs="David"/>
                <w:sz w:val="24"/>
                <w:szCs w:val="24"/>
                <w:rtl/>
              </w:rPr>
              <w:t>-</w:t>
            </w:r>
            <w:r w:rsidRPr="00673B06">
              <w:rPr>
                <w:rFonts w:ascii="Arial" w:hAnsi="Arial" w:cs="David" w:hint="cs"/>
                <w:sz w:val="24"/>
                <w:szCs w:val="24"/>
                <w:rtl/>
              </w:rPr>
              <w:t>12</w:t>
            </w:r>
            <w:r w:rsidRPr="00673B06">
              <w:rPr>
                <w:rFonts w:ascii="Arial" w:hAnsi="Arial" w:cs="David"/>
                <w:sz w:val="24"/>
                <w:szCs w:val="24"/>
                <w:rtl/>
              </w:rPr>
              <w:t>-</w:t>
            </w:r>
            <w:r w:rsidRPr="00673B06">
              <w:rPr>
                <w:rFonts w:ascii="Arial" w:hAnsi="Arial" w:cs="David" w:hint="cs"/>
                <w:sz w:val="24"/>
                <w:szCs w:val="24"/>
                <w:rtl/>
              </w:rPr>
              <w:t>22</w:t>
            </w:r>
            <w:r w:rsidRPr="00673B06">
              <w:rPr>
                <w:rFonts w:ascii="Arial" w:hAnsi="Arial" w:cs="David"/>
                <w:sz w:val="24"/>
                <w:szCs w:val="24"/>
                <w:rtl/>
              </w:rPr>
              <w:t xml:space="preserve"> </w:t>
            </w:r>
            <w:r w:rsidRPr="00673B06">
              <w:rPr>
                <w:rFonts w:ascii="Arial" w:hAnsi="Arial" w:cs="David" w:hint="cs"/>
                <w:sz w:val="24"/>
                <w:szCs w:val="24"/>
                <w:rtl/>
              </w:rPr>
              <w:t xml:space="preserve">בגדרה נקבע, כי ההליך יקבע לשמיעת ראיות לאחר חגי תשרי הבאים. להחלטה זו קדמה החלטה מיום 02.03.2024 על פיה נדחתה בקשת המשיב לביטול הסדר דיוני אליו הגיעו הצדדים בהליך קמא, כאשר נפקות ההחלטה מושא בקשת רשות הערעור היא, למעשה, ביטול ההחלטה מיום 02.03.2024. </w:t>
            </w:r>
          </w:p>
          <w:p w:rsidR="00673B06" w:rsidRPr="00673B06" w:rsidRDefault="00673B06" w:rsidP="00673B06">
            <w:pPr>
              <w:spacing w:line="360" w:lineRule="auto"/>
              <w:ind w:left="85"/>
              <w:contextualSpacing/>
              <w:jc w:val="both"/>
              <w:rPr>
                <w:rFonts w:ascii="Arial" w:hAnsi="Arial" w:cs="David"/>
                <w:sz w:val="24"/>
                <w:szCs w:val="24"/>
                <w:rtl/>
              </w:rPr>
            </w:pPr>
          </w:p>
          <w:p w:rsidR="00673B06" w:rsidRPr="00673B06" w:rsidRDefault="00673B06" w:rsidP="00673B06">
            <w:pPr>
              <w:spacing w:line="360" w:lineRule="auto"/>
              <w:ind w:left="85"/>
              <w:contextualSpacing/>
              <w:jc w:val="both"/>
              <w:rPr>
                <w:rFonts w:ascii="Arial" w:hAnsi="Arial" w:cs="David"/>
                <w:b/>
                <w:bCs/>
                <w:sz w:val="24"/>
                <w:szCs w:val="24"/>
              </w:rPr>
            </w:pPr>
            <w:r w:rsidRPr="00673B06">
              <w:rPr>
                <w:rFonts w:ascii="Arial" w:hAnsi="Arial" w:cs="David" w:hint="cs"/>
                <w:b/>
                <w:bCs/>
                <w:sz w:val="24"/>
                <w:szCs w:val="24"/>
                <w:rtl/>
              </w:rPr>
              <w:t xml:space="preserve">מה דינה של ההחלטה מושא בקשת רשות הערעור - האם יש לבטלה או שמא להותירה על כנה </w:t>
            </w:r>
            <w:r w:rsidRPr="00673B06">
              <w:rPr>
                <w:rFonts w:ascii="Arial" w:hAnsi="Arial" w:cs="David"/>
                <w:b/>
                <w:bCs/>
                <w:sz w:val="24"/>
                <w:szCs w:val="24"/>
                <w:rtl/>
              </w:rPr>
              <w:t>–</w:t>
            </w:r>
            <w:r w:rsidRPr="00673B06">
              <w:rPr>
                <w:rFonts w:ascii="Arial" w:hAnsi="Arial" w:cs="David" w:hint="cs"/>
                <w:b/>
                <w:bCs/>
                <w:sz w:val="24"/>
                <w:szCs w:val="24"/>
                <w:rtl/>
              </w:rPr>
              <w:t xml:space="preserve"> זוהי השאלה שבפנינו.</w:t>
            </w:r>
          </w:p>
          <w:p w:rsidR="00673B06" w:rsidRPr="00673B06" w:rsidRDefault="00673B06" w:rsidP="00673B06">
            <w:pPr>
              <w:ind w:left="85"/>
              <w:jc w:val="both"/>
              <w:rPr>
                <w:rFonts w:ascii="Arial" w:hAnsi="Arial" w:cs="David"/>
                <w:sz w:val="24"/>
                <w:szCs w:val="24"/>
              </w:rPr>
            </w:pPr>
          </w:p>
          <w:p w:rsidR="00673B06" w:rsidRPr="00673B06" w:rsidRDefault="00673B06" w:rsidP="00673B06">
            <w:pPr>
              <w:spacing w:line="360" w:lineRule="auto"/>
              <w:contextualSpacing/>
              <w:jc w:val="both"/>
              <w:rPr>
                <w:rFonts w:ascii="David" w:eastAsia="Calibri" w:hAnsi="David" w:cs="David"/>
                <w:b/>
                <w:bCs/>
                <w:sz w:val="26"/>
                <w:szCs w:val="26"/>
                <w:u w:val="single"/>
              </w:rPr>
            </w:pPr>
            <w:r w:rsidRPr="00673B06">
              <w:rPr>
                <w:rFonts w:ascii="David" w:eastAsia="Calibri" w:hAnsi="David" w:cs="David"/>
                <w:b/>
                <w:bCs/>
                <w:sz w:val="26"/>
                <w:szCs w:val="26"/>
                <w:u w:val="single"/>
                <w:rtl/>
              </w:rPr>
              <w:t xml:space="preserve">רקע כללי </w:t>
            </w:r>
            <w:r w:rsidRPr="00673B06">
              <w:rPr>
                <w:rFonts w:ascii="David" w:eastAsia="Calibri" w:hAnsi="David" w:cs="David" w:hint="cs"/>
                <w:b/>
                <w:bCs/>
                <w:sz w:val="26"/>
                <w:szCs w:val="26"/>
                <w:u w:val="single"/>
                <w:rtl/>
              </w:rPr>
              <w:t>והשתלשלות ההליכים בבית המשפט קמא</w:t>
            </w:r>
          </w:p>
          <w:p w:rsidR="00673B06" w:rsidRPr="00673B06" w:rsidRDefault="00673B06" w:rsidP="00673B06">
            <w:pPr>
              <w:spacing w:line="360" w:lineRule="auto"/>
              <w:ind w:left="284"/>
              <w:contextualSpacing/>
              <w:jc w:val="both"/>
              <w:rPr>
                <w:rFonts w:ascii="Arial" w:hAnsi="Arial" w:cs="David"/>
                <w:sz w:val="24"/>
                <w:szCs w:val="24"/>
              </w:rPr>
            </w:pPr>
            <w:r w:rsidRPr="00673B06">
              <w:rPr>
                <w:rFonts w:ascii="Arial" w:hAnsi="Arial" w:cs="David" w:hint="cs"/>
                <w:sz w:val="24"/>
                <w:szCs w:val="24"/>
                <w:rtl/>
              </w:rPr>
              <w:t xml:space="preserve">הצדדים הם בני זוג לשעבר, שנישאו </w:t>
            </w:r>
            <w:proofErr w:type="spellStart"/>
            <w:r w:rsidRPr="00673B06">
              <w:rPr>
                <w:rFonts w:ascii="Arial" w:hAnsi="Arial" w:cs="David" w:hint="cs"/>
                <w:sz w:val="24"/>
                <w:szCs w:val="24"/>
                <w:rtl/>
              </w:rPr>
              <w:t>זל"ז</w:t>
            </w:r>
            <w:proofErr w:type="spellEnd"/>
            <w:r w:rsidRPr="00673B06">
              <w:rPr>
                <w:rFonts w:ascii="Arial" w:hAnsi="Arial" w:cs="David" w:hint="cs"/>
                <w:sz w:val="24"/>
                <w:szCs w:val="24"/>
                <w:rtl/>
              </w:rPr>
              <w:t xml:space="preserve"> כדמו"י לפני כארבעה עשורים והם הוריהם של שתי בנות, שהן בגירות כיום.  </w:t>
            </w:r>
          </w:p>
          <w:p w:rsidR="00673B06" w:rsidRPr="00673B06" w:rsidRDefault="00673B06" w:rsidP="00673B06">
            <w:pPr>
              <w:spacing w:line="360" w:lineRule="auto"/>
              <w:ind w:left="284"/>
              <w:contextualSpacing/>
              <w:jc w:val="both"/>
              <w:rPr>
                <w:rFonts w:ascii="Arial" w:hAnsi="Arial" w:cs="David"/>
                <w:sz w:val="24"/>
                <w:szCs w:val="24"/>
              </w:rPr>
            </w:pPr>
            <w:r w:rsidRPr="00673B06">
              <w:rPr>
                <w:rFonts w:ascii="Arial" w:hAnsi="Arial" w:cs="David" w:hint="cs"/>
                <w:sz w:val="24"/>
                <w:szCs w:val="24"/>
                <w:rtl/>
              </w:rPr>
              <w:t xml:space="preserve">נישואי הצדדים לא עלו יפה, והם התגרשו בגט פיטורין בחודש פברואר 2019. </w:t>
            </w:r>
          </w:p>
          <w:p w:rsidR="00673B06" w:rsidRPr="00673B06" w:rsidRDefault="00673B06" w:rsidP="00673B06">
            <w:pPr>
              <w:ind w:left="284" w:hanging="142"/>
              <w:contextualSpacing/>
              <w:jc w:val="both"/>
              <w:rPr>
                <w:rFonts w:ascii="Arial" w:hAnsi="Arial" w:cs="David"/>
                <w:sz w:val="24"/>
                <w:szCs w:val="24"/>
              </w:rPr>
            </w:pPr>
          </w:p>
          <w:p w:rsidR="00673B06" w:rsidRPr="00673B06" w:rsidRDefault="00673B06" w:rsidP="00673B06">
            <w:pPr>
              <w:spacing w:line="360" w:lineRule="auto"/>
              <w:ind w:left="284"/>
              <w:contextualSpacing/>
              <w:jc w:val="both"/>
              <w:rPr>
                <w:rFonts w:ascii="Arial" w:hAnsi="Arial" w:cs="David"/>
                <w:sz w:val="24"/>
                <w:szCs w:val="24"/>
                <w:rtl/>
              </w:rPr>
            </w:pPr>
            <w:r w:rsidRPr="00673B06">
              <w:rPr>
                <w:rFonts w:ascii="Arial" w:hAnsi="Arial" w:cs="David" w:hint="cs"/>
                <w:sz w:val="24"/>
                <w:szCs w:val="24"/>
                <w:rtl/>
              </w:rPr>
              <w:t>יאמר כבר כעת, כי לאור נסיבות המקרה דנא, נוכח האופי שנושאת ההחלטה  נושא דיוננו והשתלשלות העניינים שקדמה לה, תפורט להלן בהרחבה אותה השתלשלות עניינים.</w:t>
            </w:r>
          </w:p>
          <w:p w:rsidR="00673B06" w:rsidRPr="00673B06" w:rsidRDefault="00673B06" w:rsidP="00673B06">
            <w:pPr>
              <w:spacing w:line="360" w:lineRule="auto"/>
              <w:ind w:left="284"/>
              <w:contextualSpacing/>
              <w:jc w:val="both"/>
              <w:rPr>
                <w:rFonts w:ascii="Arial" w:hAnsi="Arial" w:cs="David"/>
                <w:sz w:val="24"/>
                <w:szCs w:val="24"/>
                <w:rtl/>
              </w:rPr>
            </w:pPr>
          </w:p>
          <w:p w:rsidR="00673B06" w:rsidRPr="00673B06" w:rsidRDefault="00673B06" w:rsidP="00673B06">
            <w:pPr>
              <w:spacing w:line="360" w:lineRule="auto"/>
              <w:ind w:left="284"/>
              <w:contextualSpacing/>
              <w:jc w:val="both"/>
              <w:rPr>
                <w:rFonts w:ascii="Arial" w:hAnsi="Arial" w:cs="David"/>
                <w:sz w:val="24"/>
                <w:szCs w:val="24"/>
              </w:rPr>
            </w:pPr>
            <w:r w:rsidRPr="00673B06">
              <w:rPr>
                <w:rFonts w:ascii="Arial" w:hAnsi="Arial" w:cs="David" w:hint="cs"/>
                <w:sz w:val="24"/>
                <w:szCs w:val="24"/>
                <w:rtl/>
              </w:rPr>
              <w:t xml:space="preserve">הצדדים ניהלו הליכים מספר בענייני ממון ורכוש אגב פקיעת נישואיהם, אשר העיקרי שבהם נחתם במתן פסק דין בשנת 2017 עליו הוגש  ערעור לבית המשפט המחוזי. </w:t>
            </w:r>
          </w:p>
          <w:p w:rsidR="00673B06" w:rsidRPr="00673B06" w:rsidRDefault="00673B06" w:rsidP="00673B06">
            <w:pPr>
              <w:ind w:left="284" w:hanging="142"/>
              <w:contextualSpacing/>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lastRenderedPageBreak/>
              <w:t xml:space="preserve">הליך הערעור הסתיים בפשרה שהושגה בין הצדדים, וקיבלה תוקף של פסק דין ביום 02.05.2018. בהתאם להסדר הפשרה האמור (להלן: </w:t>
            </w:r>
            <w:r w:rsidRPr="00673B06">
              <w:rPr>
                <w:rFonts w:ascii="Arial" w:hAnsi="Arial" w:cs="David" w:hint="cs"/>
                <w:b/>
                <w:bCs/>
                <w:sz w:val="24"/>
                <w:szCs w:val="24"/>
                <w:rtl/>
              </w:rPr>
              <w:t>"הסדר הפשרה"</w:t>
            </w:r>
            <w:r w:rsidRPr="00673B06">
              <w:rPr>
                <w:rFonts w:ascii="Arial" w:hAnsi="Arial" w:cs="David" w:hint="cs"/>
                <w:sz w:val="24"/>
                <w:szCs w:val="24"/>
                <w:rtl/>
              </w:rPr>
              <w:t xml:space="preserve">), פסק הדין נותר על כנו ונוספו לו חיובים מספר שהוטלו על המשיב - כספיים ואחרים. </w:t>
            </w:r>
          </w:p>
          <w:p w:rsidR="00673B06" w:rsidRPr="00673B06" w:rsidRDefault="00673B06" w:rsidP="00673B06">
            <w:pPr>
              <w:ind w:left="284" w:hanging="142"/>
              <w:contextualSpacing/>
              <w:jc w:val="both"/>
              <w:rPr>
                <w:rFonts w:ascii="Arial" w:hAnsi="Arial" w:cs="David"/>
                <w:sz w:val="24"/>
                <w:szCs w:val="24"/>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 xml:space="preserve">ביום 14.12.2022 פנתה המבקשת לבית המשפט קמא בתביעה לאכיפת הסדר הפשרה, שקיבל תוקף של פסק דין, כאמור. </w:t>
            </w:r>
          </w:p>
          <w:p w:rsidR="00673B06" w:rsidRPr="00673B06" w:rsidRDefault="00673B06" w:rsidP="00673B06">
            <w:pPr>
              <w:ind w:left="720"/>
              <w:contextualSpacing/>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tl/>
              </w:rPr>
            </w:pPr>
            <w:r w:rsidRPr="00673B06">
              <w:rPr>
                <w:rFonts w:ascii="Arial" w:hAnsi="Arial" w:cs="David" w:hint="cs"/>
                <w:sz w:val="24"/>
                <w:szCs w:val="24"/>
                <w:rtl/>
              </w:rPr>
              <w:t xml:space="preserve">ביום 03.04.2023 התקיימה ישיבת קדם משפט בהליך קמא, ולאחריה, ביום 13.05.2023, ניתנה החלטה בגדרה נקבע, כי המחלוקת בין הצדדים נסובה סביב שאלות משפטיות, שעניינן פרשנות הסדר הפשרה, ועל שום כך הוצע לצדדים הסדר דיוני על פיו הם יסכמו סימולטנית טענותיהם, ופסק הדין יינתן על יסוד טיעוניהם שבכתב. הצדדים התבקשו, אפוא, להודיע האם הם מקבלים ההצעה אם לאו.   </w:t>
            </w:r>
          </w:p>
          <w:p w:rsidR="00673B06" w:rsidRPr="00673B06" w:rsidRDefault="00673B06" w:rsidP="00673B06">
            <w:pPr>
              <w:spacing w:line="360" w:lineRule="auto"/>
              <w:ind w:left="426"/>
              <w:contextualSpacing/>
              <w:jc w:val="both"/>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הצדדים הסכימו למתווה הדיוני שהוצע להם ע"י בית המשפט, וביום 10.08.2023 הוגשו על ידם סיכומים בכתב.</w:t>
            </w:r>
          </w:p>
          <w:p w:rsidR="00673B06" w:rsidRPr="00673B06" w:rsidRDefault="00673B06" w:rsidP="00673B06">
            <w:pPr>
              <w:ind w:left="720"/>
              <w:contextualSpacing/>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 xml:space="preserve">ביום 13.08.2024 הוגשה בקשת המשיב, אשר הוכתרה כ"בקשה דחופה ובהולה להוצאת נספחים מסיכומי התובעת וחיוב בהוצאות לדוגמא" במסגרתה טען, כי המבקשת הפרה הוראות הדין וההסדר הדיוני בעצם צירוף מסמכים לסיכומיה בכתב, הגם שבא כוחו התריע מפני זאת, ומשכך עתר למחיקת סיכומיה, ולחלופין </w:t>
            </w:r>
            <w:r w:rsidRPr="00673B06">
              <w:rPr>
                <w:rFonts w:ascii="Arial" w:hAnsi="Arial" w:cs="David"/>
                <w:sz w:val="24"/>
                <w:szCs w:val="24"/>
                <w:rtl/>
              </w:rPr>
              <w:t>–</w:t>
            </w:r>
            <w:r w:rsidRPr="00673B06">
              <w:rPr>
                <w:rFonts w:ascii="Arial" w:hAnsi="Arial" w:cs="David" w:hint="cs"/>
                <w:sz w:val="24"/>
                <w:szCs w:val="24"/>
                <w:rtl/>
              </w:rPr>
              <w:t xml:space="preserve"> להוצאת המסמכים שצירפה מתיק בית המשפט תוך חיובה בהוצאות.</w:t>
            </w:r>
          </w:p>
          <w:p w:rsidR="00673B06" w:rsidRPr="00673B06" w:rsidRDefault="00673B06" w:rsidP="00673B06">
            <w:pPr>
              <w:ind w:left="426"/>
              <w:contextualSpacing/>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 xml:space="preserve">לאחר שהוגשה תגובת המבקשת לבקשה, נקבע ביום 21.09.2023 כי בשים לב למהות המסמכים שצורפו לסיכומי המבקשת ומידת הרלוונטיות שלהם למחלוקות בין הצדדים, בית המשפט מתיר צירופם.  </w:t>
            </w:r>
          </w:p>
          <w:p w:rsidR="00673B06" w:rsidRPr="00673B06" w:rsidRDefault="00673B06" w:rsidP="00673B06">
            <w:pPr>
              <w:ind w:left="720"/>
              <w:contextualSpacing/>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tl/>
              </w:rPr>
            </w:pPr>
            <w:r w:rsidRPr="00673B06">
              <w:rPr>
                <w:rFonts w:ascii="Arial" w:hAnsi="Arial" w:cs="David" w:hint="cs"/>
                <w:sz w:val="24"/>
                <w:szCs w:val="24"/>
                <w:rtl/>
              </w:rPr>
              <w:t xml:space="preserve">ביום 26.09.2023 הגיש המשיב בקשה לעיון מחדש בהחלטה האמורה, ולחלופין - הודעה על חזרתו מההסכמה להסדר הדיוני. בו ביום ניתנה החלטה המורה למבקשת להגיב לבקשה האמורה, תוך שנקבע כי </w:t>
            </w:r>
            <w:r w:rsidRPr="00673B06">
              <w:rPr>
                <w:rFonts w:ascii="Arial" w:hAnsi="Arial" w:cs="David" w:hint="cs"/>
                <w:b/>
                <w:bCs/>
                <w:sz w:val="24"/>
                <w:szCs w:val="24"/>
                <w:rtl/>
              </w:rPr>
              <w:t>"ככל שהמבקש עומד על בקשתו לחזור בו מההסדר הדיוני יודיע ורצונו ימולא והתיק ייקבע..."</w:t>
            </w:r>
            <w:r w:rsidRPr="00673B06">
              <w:rPr>
                <w:rFonts w:ascii="Arial" w:hAnsi="Arial" w:cs="David" w:hint="cs"/>
                <w:sz w:val="24"/>
                <w:szCs w:val="24"/>
                <w:rtl/>
              </w:rPr>
              <w:t xml:space="preserve">. </w:t>
            </w:r>
          </w:p>
          <w:p w:rsidR="00673B06" w:rsidRPr="00673B06" w:rsidRDefault="00673B06" w:rsidP="00673B06">
            <w:pPr>
              <w:spacing w:line="360" w:lineRule="auto"/>
              <w:ind w:left="426"/>
              <w:contextualSpacing/>
              <w:jc w:val="both"/>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 xml:space="preserve">ביום 08.10.2023 הודיע המשיב, כי נוכח התנהלות המבקשת והפרת ההסדר הדיוני שנקבע בהסכמה, תוך פגיעה בזכויותיו הדיוניות, לא נותרה בידו כל ברירה ולכן עתר למתן הוראות בדבר הגשת תצהירים וקביעת ההליך לשמיעת ראיות. </w:t>
            </w:r>
          </w:p>
          <w:p w:rsidR="00673B06" w:rsidRPr="00673B06" w:rsidRDefault="00673B06" w:rsidP="00673B06">
            <w:pPr>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tl/>
              </w:rPr>
            </w:pPr>
            <w:r w:rsidRPr="00673B06">
              <w:rPr>
                <w:rFonts w:ascii="Arial" w:hAnsi="Arial" w:cs="David" w:hint="cs"/>
                <w:sz w:val="24"/>
                <w:szCs w:val="24"/>
                <w:rtl/>
              </w:rPr>
              <w:t xml:space="preserve">ביום 15.10.2023 הוגשה תגובת המבקשת במסגרתה התנגדה לבקשת המשיב בטענה, כי היא מהווה למעשה ערעור שלא כדין על ההחלטה מיום 21.09.2023 על פיה התיר לה בית המשפט קמא צירוף המסמכים לסיכומיה; וכי המשיב עושה שימוש לרעה בהליכי משפט, היות שהוגשו כבר סיכומי הצדדים וההסדר הדיוני הושלם כמעט במלואו, ומשכך היעתרות לבקשת המשיב תהווה פגיעה חמורה בסדרי הדין. בד בבד עם התגובה הוגשה ע"י המבקשת בקשה לעיון מחדש בשתי החלטות על </w:t>
            </w:r>
            <w:r w:rsidRPr="00673B06">
              <w:rPr>
                <w:rFonts w:ascii="Arial" w:hAnsi="Arial" w:cs="David" w:hint="cs"/>
                <w:sz w:val="24"/>
                <w:szCs w:val="24"/>
                <w:rtl/>
              </w:rPr>
              <w:lastRenderedPageBreak/>
              <w:t xml:space="preserve">פיהן ניתנה למשיב הזכות לחזור בו מן ההסדר הדיוני והפניית ההליך לאפיק של בירור עובדתי ושמיעת ראיות.   </w:t>
            </w: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 xml:space="preserve">המשיב נדרש להגיב לבקשה ועשה כן, ובתגובתו שב על טענותיו אשר נטענו כבר על ידו בכתבי בי- הדין הקודמים שהוגשו על ידו. </w:t>
            </w:r>
          </w:p>
          <w:p w:rsidR="00673B06" w:rsidRPr="00673B06" w:rsidRDefault="00673B06" w:rsidP="00673B06">
            <w:pPr>
              <w:ind w:left="720"/>
              <w:contextualSpacing/>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 xml:space="preserve">ביום 02.03.2024 ניתנה החלטה מנומקת ומפורטת בגדרה נדחתה בקשת המשיב לביטול ההסדר הדיוני וקביעת ההליך לשמיעת ראיות, תוך שלצד זאת נקבע, בהאי לישנא: </w:t>
            </w:r>
            <w:r w:rsidRPr="00673B06">
              <w:rPr>
                <w:rFonts w:ascii="Arial" w:hAnsi="Arial" w:cs="David" w:hint="cs"/>
                <w:b/>
                <w:bCs/>
                <w:sz w:val="24"/>
                <w:szCs w:val="24"/>
                <w:rtl/>
              </w:rPr>
              <w:t>"... על מנת שהנתבע לא יחוש כמי שיומו לא ניתן לו בבית המשפט ניתנת לו האפשרות לצרף מסמכים הסותרים את המסמכים שצורפו על ידי התובעת תוך מתן הנמקה ביחס לכל אחד מהמסמכים שיצרף כיצד הוא המסמך הנכון ובאיזה אופן הוא סותר את המסמך שצורף על ידי התובעת..."</w:t>
            </w:r>
            <w:r w:rsidRPr="00673B06">
              <w:rPr>
                <w:rFonts w:ascii="Arial" w:hAnsi="Arial" w:cs="David" w:hint="cs"/>
                <w:sz w:val="24"/>
                <w:szCs w:val="24"/>
                <w:rtl/>
              </w:rPr>
              <w:t xml:space="preserve">.  </w:t>
            </w:r>
          </w:p>
          <w:p w:rsidR="00673B06" w:rsidRPr="00673B06" w:rsidRDefault="00673B06" w:rsidP="00673B06">
            <w:pPr>
              <w:ind w:left="1080"/>
              <w:contextualSpacing/>
              <w:jc w:val="both"/>
              <w:rPr>
                <w:rFonts w:ascii="Arial" w:hAnsi="Arial" w:cs="David"/>
                <w:sz w:val="24"/>
                <w:szCs w:val="24"/>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 xml:space="preserve">המשיב פעל בהתאם לנדרש וביום 24.03.2024 הגיש המסמכים וההסברים עפ"י הוראות בית המשפט כאמור לעיל. למחרת היום ניתנה החלטה בהאי לישנא: </w:t>
            </w:r>
            <w:r w:rsidRPr="00673B06">
              <w:rPr>
                <w:rFonts w:ascii="Arial" w:hAnsi="Arial" w:cs="David" w:hint="cs"/>
                <w:b/>
                <w:bCs/>
                <w:sz w:val="24"/>
                <w:szCs w:val="24"/>
                <w:rtl/>
              </w:rPr>
              <w:t>"האם על פי מסמך זה אני יכול להסיק על הסכמת הנתבע למתווה"?..."</w:t>
            </w:r>
            <w:r w:rsidRPr="00673B06">
              <w:rPr>
                <w:rFonts w:ascii="Arial" w:hAnsi="Arial" w:cs="David" w:hint="cs"/>
                <w:sz w:val="24"/>
                <w:szCs w:val="24"/>
                <w:rtl/>
              </w:rPr>
              <w:t xml:space="preserve">. </w:t>
            </w:r>
          </w:p>
          <w:p w:rsidR="00673B06" w:rsidRPr="00673B06" w:rsidRDefault="00673B06" w:rsidP="00673B06">
            <w:pPr>
              <w:ind w:left="720"/>
              <w:contextualSpacing/>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 xml:space="preserve">ביום 28.03.2024 הוגשה תגובת המשיב  במסגרתה הבהיר, כי אמנם הוא פעל כמצוות בית המשפט ומילא אחר הוראותיו וצירף המסמכים וההסברים הדרושים, אך הוא עומד על טענותיו, כי צירוף המסמכים ע"י המבקשת בהעדר תצהיר נעשה בניגוד לדין ופוגע בזכויותיו. </w:t>
            </w:r>
          </w:p>
          <w:p w:rsidR="00673B06" w:rsidRPr="00673B06" w:rsidRDefault="00673B06" w:rsidP="00673B06">
            <w:pPr>
              <w:ind w:left="720"/>
              <w:contextualSpacing/>
              <w:rPr>
                <w:rFonts w:ascii="Arial" w:hAnsi="Arial" w:cs="David"/>
                <w:sz w:val="24"/>
                <w:szCs w:val="24"/>
                <w:rtl/>
              </w:rPr>
            </w:pPr>
          </w:p>
          <w:p w:rsidR="00673B06" w:rsidRPr="00673B06" w:rsidRDefault="00673B06" w:rsidP="00673B06">
            <w:pPr>
              <w:spacing w:line="360" w:lineRule="auto"/>
              <w:ind w:left="426"/>
              <w:contextualSpacing/>
              <w:jc w:val="both"/>
              <w:rPr>
                <w:rFonts w:ascii="Arial" w:hAnsi="Arial" w:cs="David"/>
                <w:sz w:val="24"/>
                <w:szCs w:val="24"/>
                <w:rtl/>
              </w:rPr>
            </w:pPr>
            <w:r w:rsidRPr="00673B06">
              <w:rPr>
                <w:rFonts w:ascii="Arial" w:hAnsi="Arial" w:cs="David" w:hint="cs"/>
                <w:sz w:val="24"/>
                <w:szCs w:val="24"/>
                <w:rtl/>
              </w:rPr>
              <w:t xml:space="preserve">על יסוד האמור ניתנה ביום 15.04.2024 ההחלטה מושא בקשת רשות הערעור, לפיה ההליך יקבע  לשמיעת ראיות.  </w:t>
            </w:r>
          </w:p>
          <w:p w:rsidR="00673B06" w:rsidRPr="00673B06" w:rsidRDefault="00673B06" w:rsidP="00673B06">
            <w:pPr>
              <w:ind w:left="720"/>
              <w:contextualSpacing/>
              <w:rPr>
                <w:rFonts w:ascii="Arial" w:hAnsi="Arial" w:cs="David"/>
                <w:sz w:val="24"/>
                <w:szCs w:val="24"/>
              </w:rPr>
            </w:pPr>
          </w:p>
          <w:p w:rsidR="00673B06" w:rsidRPr="00673B06" w:rsidRDefault="00673B06" w:rsidP="00673B06">
            <w:pPr>
              <w:spacing w:line="360" w:lineRule="auto"/>
              <w:ind w:left="426"/>
              <w:contextualSpacing/>
              <w:jc w:val="both"/>
              <w:rPr>
                <w:rFonts w:ascii="Arial" w:hAnsi="Arial" w:cs="David"/>
                <w:sz w:val="26"/>
                <w:szCs w:val="26"/>
                <w:rtl/>
              </w:rPr>
            </w:pPr>
            <w:r w:rsidRPr="00673B06">
              <w:rPr>
                <w:rFonts w:ascii="Arial" w:hAnsi="Arial" w:cs="David" w:hint="cs"/>
                <w:sz w:val="24"/>
                <w:szCs w:val="24"/>
                <w:rtl/>
              </w:rPr>
              <w:t xml:space="preserve">המבקשת לא השלימה עם ההחלטה, ומכאן בקשת רשות הערעור שלפנינו.  </w:t>
            </w:r>
          </w:p>
          <w:p w:rsidR="00673B06" w:rsidRPr="00673B06" w:rsidRDefault="00673B06" w:rsidP="00673B06">
            <w:pPr>
              <w:spacing w:line="360" w:lineRule="auto"/>
              <w:ind w:left="426"/>
              <w:contextualSpacing/>
              <w:jc w:val="both"/>
              <w:rPr>
                <w:rFonts w:ascii="Arial" w:hAnsi="Arial" w:cs="David"/>
                <w:sz w:val="24"/>
                <w:szCs w:val="24"/>
                <w:rtl/>
              </w:rPr>
            </w:pPr>
            <w:r w:rsidRPr="00673B06">
              <w:rPr>
                <w:rFonts w:ascii="Arial" w:hAnsi="Arial" w:cs="David" w:hint="cs"/>
                <w:sz w:val="24"/>
                <w:szCs w:val="24"/>
                <w:rtl/>
              </w:rPr>
              <w:t xml:space="preserve">המשיב התבקש להגיב עליה ופעל בהתאם. </w:t>
            </w:r>
          </w:p>
          <w:p w:rsidR="00673B06" w:rsidRPr="00673B06" w:rsidRDefault="00673B06" w:rsidP="00673B06">
            <w:pPr>
              <w:jc w:val="both"/>
              <w:rPr>
                <w:rFonts w:ascii="David" w:eastAsia="Calibri" w:hAnsi="David" w:cs="David"/>
                <w:b/>
                <w:bCs/>
                <w:sz w:val="26"/>
                <w:szCs w:val="26"/>
                <w:u w:val="single"/>
              </w:rPr>
            </w:pPr>
          </w:p>
          <w:p w:rsidR="00673B06" w:rsidRPr="00673B06" w:rsidRDefault="00673B06" w:rsidP="00673B06">
            <w:pPr>
              <w:spacing w:line="360" w:lineRule="auto"/>
              <w:ind w:left="284"/>
              <w:contextualSpacing/>
              <w:jc w:val="both"/>
              <w:rPr>
                <w:rFonts w:ascii="David" w:eastAsia="Calibri" w:hAnsi="David" w:cs="David"/>
                <w:b/>
                <w:bCs/>
                <w:sz w:val="26"/>
                <w:szCs w:val="26"/>
                <w:u w:val="single"/>
                <w:rtl/>
              </w:rPr>
            </w:pPr>
            <w:r w:rsidRPr="00673B06">
              <w:rPr>
                <w:rFonts w:ascii="David" w:eastAsia="Calibri" w:hAnsi="David" w:cs="David"/>
                <w:b/>
                <w:bCs/>
                <w:sz w:val="26"/>
                <w:szCs w:val="26"/>
                <w:u w:val="single"/>
                <w:rtl/>
              </w:rPr>
              <w:t>תמצית טענות הצדדים</w:t>
            </w:r>
            <w:r w:rsidRPr="00673B06">
              <w:rPr>
                <w:rFonts w:ascii="David" w:eastAsia="Calibri" w:hAnsi="David" w:cs="David" w:hint="cs"/>
                <w:b/>
                <w:bCs/>
                <w:sz w:val="26"/>
                <w:szCs w:val="26"/>
                <w:u w:val="single"/>
                <w:rtl/>
              </w:rPr>
              <w:t xml:space="preserve"> בהליך דנא</w:t>
            </w:r>
          </w:p>
          <w:p w:rsidR="00673B06" w:rsidRPr="00673B06" w:rsidRDefault="00673B06" w:rsidP="00673B06">
            <w:pPr>
              <w:tabs>
                <w:tab w:val="left" w:pos="8349"/>
              </w:tabs>
              <w:spacing w:line="360" w:lineRule="auto"/>
              <w:ind w:left="426"/>
              <w:contextualSpacing/>
              <w:jc w:val="both"/>
              <w:rPr>
                <w:rFonts w:ascii="Arial" w:hAnsi="Arial" w:cs="David"/>
                <w:b/>
                <w:bCs/>
                <w:sz w:val="24"/>
                <w:szCs w:val="24"/>
                <w:rtl/>
              </w:rPr>
            </w:pPr>
          </w:p>
          <w:p w:rsidR="00673B06" w:rsidRPr="00673B06" w:rsidRDefault="00673B06" w:rsidP="00673B06">
            <w:pPr>
              <w:tabs>
                <w:tab w:val="left" w:pos="8349"/>
              </w:tabs>
              <w:spacing w:line="360" w:lineRule="auto"/>
              <w:ind w:left="426"/>
              <w:contextualSpacing/>
              <w:jc w:val="both"/>
              <w:rPr>
                <w:rFonts w:ascii="Arial" w:hAnsi="Arial" w:cs="David"/>
                <w:sz w:val="24"/>
                <w:szCs w:val="24"/>
                <w:rtl/>
              </w:rPr>
            </w:pPr>
            <w:r w:rsidRPr="00673B06">
              <w:rPr>
                <w:rFonts w:ascii="Arial" w:hAnsi="Arial" w:cs="David" w:hint="cs"/>
                <w:b/>
                <w:bCs/>
                <w:sz w:val="24"/>
                <w:szCs w:val="24"/>
                <w:rtl/>
              </w:rPr>
              <w:t>לטענת המבקשת</w:t>
            </w:r>
            <w:r w:rsidRPr="00673B06">
              <w:rPr>
                <w:rFonts w:ascii="Arial" w:hAnsi="Arial" w:cs="David" w:hint="cs"/>
                <w:sz w:val="24"/>
                <w:szCs w:val="24"/>
                <w:rtl/>
              </w:rPr>
              <w:t xml:space="preserve">, ההחלטה המורה על קביעת ההליך לשמיעת ראיות עומדת בסתירה להחלטה הקודמת מיום 02.03.2024, שהיא מפורטת ומנומקת וחלוטה, וניתנה בניגוד לדין מחמת מעשה בית דין; בית המשפט שגה עת ביטל החלטתו הקודמת בלא שחל כל שינוי בנסיבות, בלא שנפלה טעות בהחלטה הקודמת, ובהעדר כל הנמקה להחלטה המאוחרת בזמן; כן שגה בית המשפט בסטותו מעקרונות יסוד שבסדרי הדין ובעצם מתן החלטה המבטלת הסדר הדיוני תוך פגיעה חמורה בסדרי הדין ובזכויותיה הדיוניות, בלא שהביטול עומד בתנאים הקבועים לכך בדין ותוך פגיעה באינטרס ההסתמכות שלה וגרימת עיכוב בלתי מידתי בהכרעה בהליך; לדידה, נסיבות המקרה דנא באות בגדר התנאים הקבועים בסעיף 52(ב) לחוק בתי המשפט, ומשכך, והגם שמדובר בהחלטת ביניים, יש הצדקה להתערב בה, שאלמלא כן יגרם לה נזק ממשי ועלול להתנהל הליך סרק. </w:t>
            </w:r>
          </w:p>
          <w:p w:rsidR="00673B06" w:rsidRPr="00673B06" w:rsidRDefault="00673B06" w:rsidP="00673B06">
            <w:pPr>
              <w:ind w:left="1080"/>
              <w:contextualSpacing/>
              <w:jc w:val="both"/>
              <w:rPr>
                <w:rFonts w:ascii="Arial" w:hAnsi="Arial" w:cs="David"/>
                <w:sz w:val="24"/>
                <w:szCs w:val="24"/>
              </w:rPr>
            </w:pPr>
          </w:p>
          <w:p w:rsidR="00673B06" w:rsidRPr="00673B06" w:rsidRDefault="00673B06" w:rsidP="00673B06">
            <w:pPr>
              <w:spacing w:line="360" w:lineRule="auto"/>
              <w:ind w:left="426"/>
              <w:contextualSpacing/>
              <w:jc w:val="both"/>
              <w:rPr>
                <w:rFonts w:ascii="David" w:eastAsia="Calibri" w:hAnsi="David" w:cs="David"/>
                <w:sz w:val="26"/>
                <w:szCs w:val="26"/>
                <w:u w:val="single"/>
              </w:rPr>
            </w:pPr>
            <w:r w:rsidRPr="00673B06">
              <w:rPr>
                <w:rFonts w:ascii="Arial" w:hAnsi="Arial" w:cs="David" w:hint="cs"/>
                <w:sz w:val="24"/>
                <w:szCs w:val="24"/>
                <w:rtl/>
              </w:rPr>
              <w:t xml:space="preserve">מנגד טוען </w:t>
            </w:r>
            <w:r w:rsidRPr="00673B06">
              <w:rPr>
                <w:rFonts w:ascii="Arial" w:hAnsi="Arial" w:cs="David"/>
                <w:b/>
                <w:bCs/>
                <w:sz w:val="24"/>
                <w:szCs w:val="24"/>
                <w:rtl/>
              </w:rPr>
              <w:t>המשיב</w:t>
            </w:r>
            <w:r w:rsidRPr="00673B06">
              <w:rPr>
                <w:rFonts w:ascii="Arial" w:hAnsi="Arial" w:cs="David" w:hint="cs"/>
                <w:sz w:val="24"/>
                <w:szCs w:val="24"/>
                <w:rtl/>
              </w:rPr>
              <w:t xml:space="preserve">, כי אין מקום להתערב בהחלטת בית המשפט קמא, אשר ניתנה בדין ובצדק, נוכח התנהלות המבקשת והפרת ההסדר הדיוני על ידה כשצירפה, בניגוד להוראות שניתנו ע"י בית המשפט מסמכים שונים לסיכומיה בלא שקיבלה רשות לכך ובהעדר תצהיר ובקשה מתאימה. בכך פעלה היא גם בניגוד להוראות הדין וביקשה לרכוש לעצמה יתרון דיוני כפול על חשבון זכויותיו: </w:t>
            </w:r>
            <w:r w:rsidRPr="00673B06">
              <w:rPr>
                <w:rFonts w:ascii="Arial" w:hAnsi="Arial" w:cs="David" w:hint="cs"/>
                <w:sz w:val="24"/>
                <w:szCs w:val="24"/>
                <w:rtl/>
              </w:rPr>
              <w:lastRenderedPageBreak/>
              <w:t xml:space="preserve">ראשית, בהגשת המסמכים בהעדר תצהיר, ושנית, תוך שלילת זכותו לחקור את מגיש המסמך (כך במקור </w:t>
            </w:r>
            <w:r w:rsidRPr="00673B06">
              <w:rPr>
                <w:rFonts w:ascii="Arial" w:hAnsi="Arial" w:cs="David"/>
                <w:sz w:val="24"/>
                <w:szCs w:val="24"/>
                <w:rtl/>
              </w:rPr>
              <w:t>–</w:t>
            </w:r>
            <w:r w:rsidRPr="00673B06">
              <w:rPr>
                <w:rFonts w:ascii="Arial" w:hAnsi="Arial" w:cs="David" w:hint="cs"/>
                <w:sz w:val="24"/>
                <w:szCs w:val="24"/>
                <w:rtl/>
              </w:rPr>
              <w:t xml:space="preserve"> </w:t>
            </w:r>
            <w:proofErr w:type="spellStart"/>
            <w:r w:rsidRPr="00673B06">
              <w:rPr>
                <w:rFonts w:ascii="Arial" w:hAnsi="Arial" w:cs="David" w:hint="cs"/>
                <w:sz w:val="24"/>
                <w:szCs w:val="24"/>
                <w:rtl/>
              </w:rPr>
              <w:t>פ.ג.כ</w:t>
            </w:r>
            <w:proofErr w:type="spellEnd"/>
            <w:r w:rsidRPr="00673B06">
              <w:rPr>
                <w:rFonts w:ascii="Arial" w:hAnsi="Arial" w:cs="David" w:hint="cs"/>
                <w:sz w:val="24"/>
                <w:szCs w:val="24"/>
                <w:rtl/>
              </w:rPr>
              <w:t xml:space="preserve">) ו/או להגיש מסמכים סותרים מטעמו. לדידו, משהבינה המבקשת כי נפקות ההסדר הדיוני שהושג היא העדר אפשרות להצגת ראיות ובכך סיכויי התביעה שלה אפסיים, היא הכשילה במתכוון את ההליך תוך ניסיון לקיצור הדרך וצירוף המסמכים לסיכומים. המשיב סבור, אפוא, כי ההחלטה מושא בקשת רשות הערעור דווקא מיטיבה עם המבקשת; עוד נטען על ידו, כי בהתאם לפסיקה, אין דרכה של ערכאת הערעור להתערב בהחלטות ביניים בעניינים דיוניים וראייתיים, ועל אחת כמה וכמה כשמדובר בהחלטות הניתנות ע"י בית המשפט לענייני משפחה, ומשכך, והיות שהולדת ההחלטה נושא דיוננו היא במעשי המבקשת שהפרה ההסדר הדיוני, דין הבקשה להידחות. </w:t>
            </w:r>
          </w:p>
          <w:p w:rsidR="00673B06" w:rsidRPr="00673B06" w:rsidRDefault="00673B06" w:rsidP="00673B06">
            <w:pPr>
              <w:spacing w:line="360" w:lineRule="auto"/>
              <w:ind w:left="720"/>
              <w:contextualSpacing/>
              <w:jc w:val="both"/>
              <w:rPr>
                <w:rFonts w:ascii="David" w:eastAsia="Calibri" w:hAnsi="David" w:cs="David"/>
                <w:b/>
                <w:bCs/>
                <w:sz w:val="26"/>
                <w:szCs w:val="26"/>
                <w:u w:val="single"/>
                <w:rtl/>
              </w:rPr>
            </w:pPr>
          </w:p>
          <w:p w:rsidR="00673B06" w:rsidRPr="00673B06" w:rsidRDefault="00673B06" w:rsidP="00673B06">
            <w:pPr>
              <w:spacing w:line="360" w:lineRule="auto"/>
              <w:ind w:left="227"/>
              <w:contextualSpacing/>
              <w:jc w:val="both"/>
              <w:rPr>
                <w:rFonts w:ascii="David" w:eastAsia="Calibri" w:hAnsi="David" w:cs="David"/>
                <w:b/>
                <w:bCs/>
                <w:sz w:val="26"/>
                <w:szCs w:val="26"/>
                <w:u w:val="single"/>
              </w:rPr>
            </w:pPr>
            <w:r w:rsidRPr="00673B06">
              <w:rPr>
                <w:rFonts w:ascii="David" w:eastAsia="Calibri" w:hAnsi="David" w:cs="David"/>
                <w:b/>
                <w:bCs/>
                <w:sz w:val="26"/>
                <w:szCs w:val="26"/>
                <w:u w:val="single"/>
                <w:rtl/>
              </w:rPr>
              <w:t>דיון והכרעה</w:t>
            </w:r>
          </w:p>
          <w:p w:rsidR="00673B06" w:rsidRPr="00673B06" w:rsidRDefault="00673B06" w:rsidP="00673B06">
            <w:pPr>
              <w:ind w:left="720"/>
              <w:contextualSpacing/>
              <w:jc w:val="both"/>
              <w:rPr>
                <w:rFonts w:ascii="David" w:eastAsia="Calibri" w:hAnsi="David" w:cs="David"/>
                <w:b/>
                <w:bCs/>
                <w:sz w:val="26"/>
                <w:szCs w:val="26"/>
                <w:u w:val="single"/>
                <w:rtl/>
              </w:rPr>
            </w:pPr>
          </w:p>
          <w:p w:rsidR="00673B06" w:rsidRPr="00673B06" w:rsidRDefault="00673B06" w:rsidP="00673B06">
            <w:pPr>
              <w:spacing w:line="360" w:lineRule="auto"/>
              <w:ind w:left="284"/>
              <w:contextualSpacing/>
              <w:jc w:val="both"/>
              <w:rPr>
                <w:rFonts w:ascii="Arial" w:hAnsi="Arial" w:cs="David"/>
                <w:b/>
                <w:bCs/>
                <w:sz w:val="24"/>
                <w:szCs w:val="24"/>
              </w:rPr>
            </w:pPr>
            <w:r w:rsidRPr="00673B06">
              <w:rPr>
                <w:rFonts w:ascii="Arial" w:hAnsi="Arial" w:cs="David"/>
                <w:b/>
                <w:bCs/>
                <w:sz w:val="24"/>
                <w:szCs w:val="24"/>
                <w:rtl/>
              </w:rPr>
              <w:t xml:space="preserve">לאחר שבחנתי טענות הצדדים ועיינתי בתיקים </w:t>
            </w:r>
            <w:r w:rsidRPr="00673B06">
              <w:rPr>
                <w:rFonts w:ascii="Arial" w:hAnsi="Arial" w:cs="David" w:hint="cs"/>
                <w:b/>
                <w:bCs/>
                <w:sz w:val="24"/>
                <w:szCs w:val="24"/>
                <w:rtl/>
              </w:rPr>
              <w:t xml:space="preserve">המתנהלים </w:t>
            </w:r>
            <w:r w:rsidRPr="00673B06">
              <w:rPr>
                <w:rFonts w:ascii="Arial" w:hAnsi="Arial" w:cs="David"/>
                <w:b/>
                <w:bCs/>
                <w:sz w:val="24"/>
                <w:szCs w:val="24"/>
                <w:rtl/>
              </w:rPr>
              <w:t>בבית המשפט קמא</w:t>
            </w:r>
            <w:r w:rsidRPr="00673B06">
              <w:rPr>
                <w:rFonts w:ascii="Arial" w:hAnsi="Arial" w:cs="David" w:hint="cs"/>
                <w:b/>
                <w:bCs/>
                <w:sz w:val="24"/>
                <w:szCs w:val="24"/>
                <w:rtl/>
              </w:rPr>
              <w:t xml:space="preserve"> בעניינם של הצדדים</w:t>
            </w:r>
            <w:r w:rsidRPr="00673B06">
              <w:rPr>
                <w:rFonts w:ascii="Arial" w:hAnsi="Arial" w:cs="David"/>
                <w:b/>
                <w:bCs/>
                <w:sz w:val="24"/>
                <w:szCs w:val="24"/>
                <w:rtl/>
              </w:rPr>
              <w:t xml:space="preserve">, </w:t>
            </w:r>
            <w:r w:rsidRPr="00673B06">
              <w:rPr>
                <w:rFonts w:ascii="Arial" w:hAnsi="Arial" w:cs="David" w:hint="cs"/>
                <w:b/>
                <w:bCs/>
                <w:sz w:val="24"/>
                <w:szCs w:val="24"/>
                <w:rtl/>
              </w:rPr>
              <w:t xml:space="preserve">ועל יסוד הוראת תקנה 138(א)(5) ותקנה 146(א)(3) לתקנות סדר הדין האזרחי, תשע"ט-2018 </w:t>
            </w:r>
            <w:r w:rsidRPr="00673B06">
              <w:rPr>
                <w:rFonts w:ascii="Arial" w:hAnsi="Arial" w:cs="David"/>
                <w:b/>
                <w:bCs/>
                <w:sz w:val="24"/>
                <w:szCs w:val="24"/>
                <w:rtl/>
              </w:rPr>
              <w:t>באתי ל</w:t>
            </w:r>
            <w:r w:rsidRPr="00673B06">
              <w:rPr>
                <w:rFonts w:ascii="Arial" w:hAnsi="Arial" w:cs="David" w:hint="cs"/>
                <w:b/>
                <w:bCs/>
                <w:sz w:val="24"/>
                <w:szCs w:val="24"/>
                <w:rtl/>
              </w:rPr>
              <w:t xml:space="preserve">כלל </w:t>
            </w:r>
            <w:r w:rsidRPr="00673B06">
              <w:rPr>
                <w:rFonts w:ascii="Arial" w:hAnsi="Arial" w:cs="David"/>
                <w:b/>
                <w:bCs/>
                <w:sz w:val="24"/>
                <w:szCs w:val="24"/>
                <w:rtl/>
              </w:rPr>
              <w:t>מסקנה</w:t>
            </w:r>
            <w:r w:rsidRPr="00673B06">
              <w:rPr>
                <w:rFonts w:ascii="Arial" w:hAnsi="Arial" w:cs="David" w:hint="cs"/>
                <w:b/>
                <w:bCs/>
                <w:sz w:val="24"/>
                <w:szCs w:val="24"/>
                <w:rtl/>
              </w:rPr>
              <w:t>,</w:t>
            </w:r>
            <w:r w:rsidRPr="00673B06">
              <w:rPr>
                <w:rFonts w:ascii="Arial" w:hAnsi="Arial" w:cs="David"/>
                <w:b/>
                <w:bCs/>
                <w:sz w:val="24"/>
                <w:szCs w:val="24"/>
                <w:rtl/>
              </w:rPr>
              <w:t xml:space="preserve"> כי </w:t>
            </w:r>
            <w:r w:rsidRPr="00673B06">
              <w:rPr>
                <w:rFonts w:ascii="Arial" w:hAnsi="Arial" w:cs="David" w:hint="cs"/>
                <w:b/>
                <w:bCs/>
                <w:sz w:val="24"/>
                <w:szCs w:val="24"/>
                <w:rtl/>
              </w:rPr>
              <w:t>יש</w:t>
            </w:r>
            <w:r w:rsidRPr="00673B06">
              <w:rPr>
                <w:rFonts w:ascii="Arial" w:hAnsi="Arial" w:cs="David"/>
                <w:b/>
                <w:bCs/>
                <w:sz w:val="24"/>
                <w:szCs w:val="24"/>
                <w:rtl/>
              </w:rPr>
              <w:t xml:space="preserve"> </w:t>
            </w:r>
            <w:r w:rsidRPr="00673B06">
              <w:rPr>
                <w:rFonts w:ascii="Arial" w:hAnsi="Arial" w:cs="David" w:hint="cs"/>
                <w:b/>
                <w:bCs/>
                <w:sz w:val="24"/>
                <w:szCs w:val="24"/>
                <w:rtl/>
              </w:rPr>
              <w:t>לבטל ההחלטה מושא הבקשה שלפניי ו</w:t>
            </w:r>
            <w:r w:rsidRPr="00673B06">
              <w:rPr>
                <w:rFonts w:ascii="Arial" w:hAnsi="Arial" w:cs="David"/>
                <w:b/>
                <w:bCs/>
                <w:sz w:val="24"/>
                <w:szCs w:val="24"/>
                <w:rtl/>
              </w:rPr>
              <w:t xml:space="preserve">להשיב הדיון בבקשה לבית המשפט קמא, </w:t>
            </w:r>
            <w:r w:rsidRPr="00673B06">
              <w:rPr>
                <w:rFonts w:ascii="Arial" w:hAnsi="Arial" w:cs="David" w:hint="cs"/>
                <w:b/>
                <w:bCs/>
                <w:sz w:val="24"/>
                <w:szCs w:val="24"/>
                <w:rtl/>
              </w:rPr>
              <w:t>על מנת שיידרש לעניין בשנית משמ</w:t>
            </w:r>
            <w:r w:rsidRPr="00673B06">
              <w:rPr>
                <w:rFonts w:ascii="Arial" w:hAnsi="Arial" w:cs="David"/>
                <w:b/>
                <w:bCs/>
                <w:sz w:val="24"/>
                <w:szCs w:val="24"/>
                <w:rtl/>
              </w:rPr>
              <w:t>צאתי, כי ההחלטה לא נומקה על ידו</w:t>
            </w:r>
            <w:r w:rsidRPr="00673B06">
              <w:rPr>
                <w:rFonts w:ascii="Arial" w:hAnsi="Arial" w:cs="David" w:hint="cs"/>
                <w:b/>
                <w:bCs/>
                <w:sz w:val="24"/>
                <w:szCs w:val="24"/>
                <w:rtl/>
              </w:rPr>
              <w:t xml:space="preserve">, כמתחייב בדין, בפרט על רקע השתלשלות העניינים בהליך קמא ונוכח ההחלטות השונות שניתנו לפניה. </w:t>
            </w:r>
          </w:p>
          <w:p w:rsidR="00673B06" w:rsidRPr="00673B06" w:rsidRDefault="00673B06" w:rsidP="00673B06">
            <w:pPr>
              <w:ind w:left="786"/>
              <w:contextualSpacing/>
              <w:jc w:val="both"/>
              <w:rPr>
                <w:rFonts w:ascii="Arial" w:hAnsi="Arial" w:cs="David"/>
                <w:b/>
                <w:bCs/>
                <w:sz w:val="24"/>
                <w:szCs w:val="24"/>
              </w:rPr>
            </w:pPr>
            <w:r w:rsidRPr="00673B06">
              <w:rPr>
                <w:rFonts w:ascii="Arial" w:hAnsi="Arial" w:cs="David"/>
                <w:b/>
                <w:bCs/>
                <w:sz w:val="24"/>
                <w:szCs w:val="24"/>
                <w:rtl/>
              </w:rPr>
              <w:t xml:space="preserve">  </w:t>
            </w:r>
          </w:p>
          <w:p w:rsidR="00673B06" w:rsidRPr="00673B06" w:rsidRDefault="00673B06" w:rsidP="00673B06">
            <w:pPr>
              <w:spacing w:line="360" w:lineRule="auto"/>
              <w:ind w:left="284"/>
              <w:contextualSpacing/>
              <w:jc w:val="both"/>
              <w:rPr>
                <w:rFonts w:ascii="Arial" w:hAnsi="Arial" w:cs="David"/>
                <w:sz w:val="24"/>
                <w:szCs w:val="24"/>
                <w:rtl/>
              </w:rPr>
            </w:pPr>
            <w:r w:rsidRPr="00673B06">
              <w:rPr>
                <w:rFonts w:ascii="Arial" w:hAnsi="Arial" w:cs="David" w:hint="cs"/>
                <w:sz w:val="24"/>
                <w:szCs w:val="24"/>
                <w:rtl/>
              </w:rPr>
              <w:t xml:space="preserve">כידוע,  בהתאם להוראת סעיף 52(ב) לחוק בתי המשפט (נוסח משולב) תשמ"ד </w:t>
            </w:r>
            <w:r w:rsidRPr="00673B06">
              <w:rPr>
                <w:rFonts w:ascii="Arial" w:hAnsi="Arial" w:cs="David"/>
                <w:sz w:val="24"/>
                <w:szCs w:val="24"/>
                <w:rtl/>
              </w:rPr>
              <w:t>–</w:t>
            </w:r>
            <w:r w:rsidRPr="00673B06">
              <w:rPr>
                <w:rFonts w:ascii="Arial" w:hAnsi="Arial" w:cs="David" w:hint="cs"/>
                <w:sz w:val="24"/>
                <w:szCs w:val="24"/>
                <w:rtl/>
              </w:rPr>
              <w:t xml:space="preserve"> 1984 והפסיקה העוסקת בה, רשות ערעור על החלטת ביניים בהליך אזרחי  תינתן רק כאשר ישנו חשש, כי ייגרם נזק ממשי למבקש רשות הערעור או שיתקיים הליך מיותר או כשערכאת הערעור סבורה, שההחלטה שגויה בבירור. </w:t>
            </w:r>
          </w:p>
          <w:p w:rsidR="00673B06" w:rsidRPr="00673B06" w:rsidRDefault="00673B06" w:rsidP="00673B06">
            <w:pPr>
              <w:spacing w:line="360" w:lineRule="auto"/>
              <w:ind w:left="284"/>
              <w:contextualSpacing/>
              <w:jc w:val="both"/>
              <w:rPr>
                <w:rFonts w:ascii="Arial" w:hAnsi="Arial" w:cs="David"/>
                <w:b/>
                <w:bCs/>
                <w:sz w:val="24"/>
                <w:szCs w:val="24"/>
              </w:rPr>
            </w:pPr>
            <w:r w:rsidRPr="00673B06">
              <w:rPr>
                <w:rFonts w:ascii="Arial" w:hAnsi="Arial" w:cs="David" w:hint="cs"/>
                <w:sz w:val="24"/>
                <w:szCs w:val="24"/>
                <w:rtl/>
              </w:rPr>
              <w:t xml:space="preserve">צא ולמד, כי ככלל ערכאת הערעור תתערב בהחלטת ביניים רק כאשר יש לה השפעה רבה על זכויות הצדדים והיא יוצרת מצב בו קשה יהיה להביא לתיקון הפגם או שהוא בעל השפעה מכרעת על הדיון.   </w:t>
            </w:r>
          </w:p>
          <w:p w:rsidR="00673B06" w:rsidRPr="00673B06" w:rsidRDefault="00673B06" w:rsidP="00673B06">
            <w:pPr>
              <w:ind w:left="720"/>
              <w:contextualSpacing/>
              <w:jc w:val="both"/>
              <w:rPr>
                <w:rFonts w:ascii="Arial" w:hAnsi="Arial" w:cs="David"/>
                <w:sz w:val="24"/>
                <w:szCs w:val="24"/>
              </w:rPr>
            </w:pPr>
          </w:p>
          <w:p w:rsidR="00673B06" w:rsidRPr="00673B06" w:rsidRDefault="00673B06" w:rsidP="00673B06">
            <w:pPr>
              <w:spacing w:line="360" w:lineRule="auto"/>
              <w:ind w:left="426"/>
              <w:contextualSpacing/>
              <w:jc w:val="both"/>
              <w:rPr>
                <w:rFonts w:ascii="David" w:hAnsi="David" w:cs="David"/>
                <w:noProof/>
                <w:sz w:val="24"/>
                <w:szCs w:val="24"/>
                <w:rtl/>
              </w:rPr>
            </w:pPr>
            <w:r w:rsidRPr="00673B06">
              <w:rPr>
                <w:rFonts w:ascii="David" w:hAnsi="David" w:cs="David" w:hint="cs"/>
                <w:noProof/>
                <w:sz w:val="24"/>
                <w:szCs w:val="24"/>
                <w:rtl/>
              </w:rPr>
              <w:t xml:space="preserve">ודוק, </w:t>
            </w:r>
            <w:r w:rsidRPr="00673B06">
              <w:rPr>
                <w:rFonts w:ascii="David" w:hAnsi="David" w:cs="David"/>
                <w:noProof/>
                <w:sz w:val="24"/>
                <w:szCs w:val="24"/>
                <w:rtl/>
              </w:rPr>
              <w:t>הלכה מושרשת וידועה היא, כי ערכאת הערעור ממעטת להתערב בהחלטות של הערכאה הדיונית בסוגיות דיוניות-ניהוליות והתערבותה בכגון דא שמורה למקרים חריגים בהם ההחלטה שהתקבלה מנוגדת לדין או שהיא גורמת עיוות דין לאחד הצדדים [ראו למשל:</w:t>
            </w:r>
            <w:r w:rsidRPr="00673B06">
              <w:rPr>
                <w:rFonts w:ascii="David" w:hAnsi="David" w:cs="David" w:hint="cs"/>
                <w:noProof/>
                <w:sz w:val="24"/>
                <w:szCs w:val="24"/>
                <w:rtl/>
              </w:rPr>
              <w:t xml:space="preserve"> רע"א 7192/14</w:t>
            </w:r>
            <w:r w:rsidRPr="00673B06">
              <w:rPr>
                <w:rFonts w:ascii="David" w:hAnsi="David" w:cs="David"/>
                <w:noProof/>
                <w:sz w:val="24"/>
                <w:szCs w:val="24"/>
                <w:rtl/>
              </w:rPr>
              <w:t xml:space="preserve"> </w:t>
            </w:r>
            <w:r w:rsidRPr="00673B06">
              <w:rPr>
                <w:rFonts w:ascii="David" w:hAnsi="David" w:cs="David"/>
                <w:b/>
                <w:bCs/>
                <w:noProof/>
                <w:sz w:val="24"/>
                <w:szCs w:val="24"/>
                <w:rtl/>
              </w:rPr>
              <w:t xml:space="preserve">דוד צוקר ובניו חברה לבניין והשקעות בע"מ נ' צוקר, </w:t>
            </w:r>
            <w:r w:rsidRPr="00673B06">
              <w:rPr>
                <w:rFonts w:ascii="David" w:hAnsi="David" w:cs="David"/>
                <w:noProof/>
                <w:sz w:val="24"/>
                <w:szCs w:val="24"/>
                <w:rtl/>
              </w:rPr>
              <w:t>פורסם במאגרים האלקטרוניים</w:t>
            </w:r>
            <w:r w:rsidRPr="00673B06">
              <w:rPr>
                <w:rFonts w:ascii="David" w:hAnsi="David" w:cs="David" w:hint="cs"/>
                <w:noProof/>
                <w:sz w:val="24"/>
                <w:szCs w:val="24"/>
                <w:rtl/>
              </w:rPr>
              <w:t>,</w:t>
            </w:r>
            <w:r w:rsidRPr="00673B06">
              <w:rPr>
                <w:rFonts w:ascii="David" w:hAnsi="David" w:cs="David"/>
                <w:noProof/>
                <w:sz w:val="24"/>
                <w:szCs w:val="24"/>
                <w:rtl/>
              </w:rPr>
              <w:t xml:space="preserve"> </w:t>
            </w:r>
            <w:r w:rsidRPr="00673B06">
              <w:rPr>
                <w:rFonts w:cs="David" w:hint="cs"/>
                <w:noProof/>
                <w:sz w:val="24"/>
                <w:szCs w:val="24"/>
                <w:rtl/>
              </w:rPr>
              <w:t>פורסם במאגרים האלקטרוניים</w:t>
            </w:r>
            <w:r w:rsidRPr="00673B06">
              <w:rPr>
                <w:rFonts w:ascii="David" w:hAnsi="David" w:cs="David"/>
                <w:noProof/>
                <w:sz w:val="24"/>
                <w:szCs w:val="24"/>
                <w:rtl/>
              </w:rPr>
              <w:t>;</w:t>
            </w:r>
            <w:r w:rsidRPr="00673B06">
              <w:rPr>
                <w:rFonts w:ascii="David" w:hAnsi="David" w:cs="David" w:hint="cs"/>
                <w:noProof/>
                <w:sz w:val="24"/>
                <w:szCs w:val="24"/>
                <w:rtl/>
              </w:rPr>
              <w:t xml:space="preserve"> רע"א 624/11</w:t>
            </w:r>
            <w:r w:rsidRPr="00673B06">
              <w:rPr>
                <w:rFonts w:ascii="David" w:hAnsi="David" w:cs="David"/>
                <w:noProof/>
                <w:sz w:val="24"/>
                <w:szCs w:val="24"/>
                <w:rtl/>
              </w:rPr>
              <w:t xml:space="preserve"> </w:t>
            </w:r>
            <w:r w:rsidRPr="00673B06">
              <w:rPr>
                <w:rFonts w:ascii="Arial" w:hAnsi="Arial" w:cs="David"/>
                <w:b/>
                <w:bCs/>
                <w:noProof/>
                <w:sz w:val="24"/>
                <w:szCs w:val="24"/>
                <w:rtl/>
              </w:rPr>
              <w:t>המוטרנות היוונית קתולית נ' נח'לה</w:t>
            </w:r>
            <w:r w:rsidRPr="00673B06">
              <w:rPr>
                <w:rFonts w:ascii="Arial" w:hAnsi="Arial" w:cs="David"/>
                <w:noProof/>
                <w:sz w:val="24"/>
                <w:szCs w:val="24"/>
                <w:rtl/>
              </w:rPr>
              <w:t>, פורסם במאגרים האלקטרוניים;</w:t>
            </w:r>
            <w:r w:rsidRPr="00673B06">
              <w:rPr>
                <w:rFonts w:ascii="Arial" w:hAnsi="Arial" w:cs="David" w:hint="cs"/>
                <w:noProof/>
                <w:sz w:val="24"/>
                <w:szCs w:val="24"/>
                <w:rtl/>
              </w:rPr>
              <w:t xml:space="preserve"> רע"א 266/88</w:t>
            </w:r>
            <w:r w:rsidRPr="00673B06">
              <w:rPr>
                <w:rFonts w:ascii="Arial" w:hAnsi="Arial" w:cs="David"/>
                <w:noProof/>
                <w:sz w:val="24"/>
                <w:szCs w:val="24"/>
                <w:rtl/>
              </w:rPr>
              <w:t xml:space="preserve"> </w:t>
            </w:r>
            <w:r w:rsidRPr="00673B06">
              <w:rPr>
                <w:rFonts w:ascii="Arial" w:hAnsi="Arial" w:cs="David"/>
                <w:b/>
                <w:bCs/>
                <w:noProof/>
                <w:sz w:val="24"/>
                <w:szCs w:val="24"/>
                <w:rtl/>
              </w:rPr>
              <w:t>סאן אינטרנשיונל לימטיד נ' מדינת ישראל</w:t>
            </w:r>
            <w:r w:rsidRPr="00673B06">
              <w:rPr>
                <w:rFonts w:ascii="Arial" w:hAnsi="Arial" w:cs="David"/>
                <w:noProof/>
                <w:sz w:val="24"/>
                <w:szCs w:val="24"/>
                <w:rtl/>
              </w:rPr>
              <w:t>, פ"ד מד(2) 206</w:t>
            </w:r>
            <w:r w:rsidRPr="00673B06">
              <w:rPr>
                <w:rFonts w:ascii="Arial" w:hAnsi="Arial" w:cs="David" w:hint="cs"/>
                <w:noProof/>
                <w:sz w:val="24"/>
                <w:szCs w:val="24"/>
                <w:rtl/>
              </w:rPr>
              <w:t>]</w:t>
            </w:r>
            <w:r w:rsidRPr="00673B06">
              <w:rPr>
                <w:rFonts w:ascii="David" w:hAnsi="David" w:cs="David" w:hint="cs"/>
                <w:noProof/>
                <w:sz w:val="24"/>
                <w:szCs w:val="24"/>
                <w:rtl/>
              </w:rPr>
              <w:t>.</w:t>
            </w:r>
          </w:p>
          <w:p w:rsidR="00673B06" w:rsidRPr="00673B06" w:rsidRDefault="00673B06" w:rsidP="00673B06">
            <w:pPr>
              <w:spacing w:line="360" w:lineRule="auto"/>
              <w:ind w:left="426"/>
              <w:contextualSpacing/>
              <w:jc w:val="both"/>
              <w:rPr>
                <w:rFonts w:ascii="David" w:hAnsi="David" w:cs="David"/>
                <w:sz w:val="24"/>
                <w:szCs w:val="24"/>
              </w:rPr>
            </w:pPr>
            <w:r w:rsidRPr="00673B06">
              <w:rPr>
                <w:rFonts w:ascii="David" w:hAnsi="David" w:cs="David" w:hint="cs"/>
                <w:noProof/>
                <w:sz w:val="24"/>
                <w:szCs w:val="24"/>
                <w:rtl/>
              </w:rPr>
              <w:t>בהקשר זה יצוין, כי ב-רע"א 867/17</w:t>
            </w:r>
            <w:r w:rsidRPr="00673B06">
              <w:rPr>
                <w:rFonts w:ascii="David" w:hAnsi="David" w:cs="David" w:hint="cs"/>
                <w:noProof/>
                <w:color w:val="0000FF"/>
                <w:sz w:val="24"/>
                <w:szCs w:val="24"/>
                <w:rtl/>
              </w:rPr>
              <w:t xml:space="preserve"> </w:t>
            </w:r>
            <w:r w:rsidRPr="00673B06">
              <w:rPr>
                <w:rFonts w:ascii="David" w:hAnsi="David" w:cs="David"/>
                <w:b/>
                <w:bCs/>
                <w:noProof/>
                <w:sz w:val="24"/>
                <w:szCs w:val="24"/>
                <w:rtl/>
              </w:rPr>
              <w:t xml:space="preserve">פנינת הצומת בע"מ נ' ש. שלמה מכירת רכב (2000) בע"מ </w:t>
            </w:r>
            <w:r w:rsidRPr="00673B06">
              <w:rPr>
                <w:rFonts w:ascii="David" w:hAnsi="David" w:cs="David" w:hint="cs"/>
                <w:noProof/>
                <w:sz w:val="24"/>
                <w:szCs w:val="24"/>
                <w:rtl/>
              </w:rPr>
              <w:t>(</w:t>
            </w:r>
            <w:r w:rsidRPr="00673B06">
              <w:rPr>
                <w:rFonts w:ascii="David" w:hAnsi="David" w:cs="David"/>
                <w:noProof/>
                <w:sz w:val="24"/>
                <w:szCs w:val="24"/>
                <w:rtl/>
              </w:rPr>
              <w:t xml:space="preserve">פורסם במאגרים האלקטרוניים) קובע בית המשפט העליון, תוך הפניה לדוגמאות מפסיקותיו, </w:t>
            </w:r>
            <w:r w:rsidRPr="00673B06">
              <w:rPr>
                <w:rFonts w:ascii="David" w:hAnsi="David" w:cs="David" w:hint="cs"/>
                <w:noProof/>
                <w:sz w:val="24"/>
                <w:szCs w:val="24"/>
                <w:rtl/>
              </w:rPr>
              <w:t>ש</w:t>
            </w:r>
            <w:r w:rsidRPr="00673B06">
              <w:rPr>
                <w:rFonts w:ascii="David" w:hAnsi="David" w:cs="David"/>
                <w:noProof/>
                <w:sz w:val="24"/>
                <w:szCs w:val="24"/>
                <w:rtl/>
              </w:rPr>
              <w:t>הלכה זו תקפה ביחס לכלל ההחלטות בסוגיות דיוניות-ניהוליות.</w:t>
            </w:r>
          </w:p>
          <w:p w:rsidR="00673B06" w:rsidRPr="00673B06" w:rsidRDefault="00673B06" w:rsidP="00673B06">
            <w:pPr>
              <w:ind w:left="720"/>
              <w:contextualSpacing/>
              <w:jc w:val="both"/>
              <w:rPr>
                <w:rFonts w:ascii="Arial" w:hAnsi="Arial" w:cs="David"/>
                <w:noProof/>
                <w:sz w:val="24"/>
                <w:szCs w:val="24"/>
              </w:rPr>
            </w:pPr>
          </w:p>
          <w:p w:rsidR="00673B06" w:rsidRPr="00673B06" w:rsidRDefault="00673B06" w:rsidP="00673B06">
            <w:pPr>
              <w:spacing w:line="360" w:lineRule="auto"/>
              <w:ind w:left="426"/>
              <w:contextualSpacing/>
              <w:jc w:val="both"/>
              <w:rPr>
                <w:rFonts w:ascii="Arial" w:hAnsi="Arial" w:cs="David"/>
                <w:noProof/>
                <w:sz w:val="24"/>
                <w:szCs w:val="24"/>
              </w:rPr>
            </w:pPr>
            <w:r w:rsidRPr="00673B06">
              <w:rPr>
                <w:rFonts w:ascii="Arial" w:hAnsi="Arial" w:cs="David"/>
                <w:noProof/>
                <w:sz w:val="24"/>
                <w:szCs w:val="24"/>
                <w:rtl/>
              </w:rPr>
              <w:t xml:space="preserve">תפיסה נוספת שהשתרשה </w:t>
            </w:r>
            <w:r w:rsidRPr="00673B06">
              <w:rPr>
                <w:rFonts w:ascii="Arial" w:hAnsi="Arial" w:cs="David" w:hint="cs"/>
                <w:noProof/>
                <w:sz w:val="24"/>
                <w:szCs w:val="24"/>
                <w:rtl/>
              </w:rPr>
              <w:t xml:space="preserve">ורווחת </w:t>
            </w:r>
            <w:r w:rsidRPr="00673B06">
              <w:rPr>
                <w:rFonts w:ascii="Arial" w:hAnsi="Arial" w:cs="David"/>
                <w:noProof/>
                <w:sz w:val="24"/>
                <w:szCs w:val="24"/>
                <w:rtl/>
              </w:rPr>
              <w:t>בפסיקה היא, כי השגה על החלטת ביניים של הערכאה הדיונית דינה</w:t>
            </w:r>
            <w:r w:rsidRPr="00673B06">
              <w:rPr>
                <w:rFonts w:ascii="Arial" w:hAnsi="Arial" w:cs="David" w:hint="cs"/>
                <w:noProof/>
                <w:sz w:val="24"/>
                <w:szCs w:val="24"/>
                <w:rtl/>
              </w:rPr>
              <w:t xml:space="preserve"> </w:t>
            </w:r>
            <w:r w:rsidRPr="00673B06">
              <w:rPr>
                <w:rFonts w:ascii="Arial" w:hAnsi="Arial" w:cs="David"/>
                <w:noProof/>
                <w:sz w:val="24"/>
                <w:szCs w:val="24"/>
                <w:rtl/>
              </w:rPr>
              <w:t>ככלל</w:t>
            </w:r>
            <w:r w:rsidRPr="00673B06">
              <w:rPr>
                <w:rFonts w:ascii="Arial" w:hAnsi="Arial" w:cs="David" w:hint="cs"/>
                <w:noProof/>
                <w:sz w:val="24"/>
                <w:szCs w:val="24"/>
                <w:rtl/>
              </w:rPr>
              <w:t xml:space="preserve"> </w:t>
            </w:r>
            <w:r w:rsidRPr="00673B06">
              <w:rPr>
                <w:rFonts w:ascii="Arial" w:hAnsi="Arial" w:cs="David"/>
                <w:noProof/>
                <w:sz w:val="24"/>
                <w:szCs w:val="24"/>
                <w:rtl/>
              </w:rPr>
              <w:t>להתברר במסגרת הערעור על פסק הדין. התערבות ערכאת הערעור בהחלטת ביניים ת</w:t>
            </w:r>
            <w:r w:rsidRPr="00673B06">
              <w:rPr>
                <w:rFonts w:ascii="Arial" w:hAnsi="Arial" w:cs="David" w:hint="cs"/>
                <w:noProof/>
                <w:sz w:val="24"/>
                <w:szCs w:val="24"/>
                <w:rtl/>
              </w:rPr>
              <w:t>י</w:t>
            </w:r>
            <w:r w:rsidRPr="00673B06">
              <w:rPr>
                <w:rFonts w:ascii="Arial" w:hAnsi="Arial" w:cs="David"/>
                <w:noProof/>
                <w:sz w:val="24"/>
                <w:szCs w:val="24"/>
                <w:rtl/>
              </w:rPr>
              <w:t xml:space="preserve">עשה, אם כן, במשורה </w:t>
            </w:r>
            <w:r w:rsidRPr="00673B06">
              <w:rPr>
                <w:rFonts w:ascii="Arial" w:hAnsi="Arial" w:cs="David" w:hint="cs"/>
                <w:noProof/>
                <w:sz w:val="24"/>
                <w:szCs w:val="24"/>
                <w:rtl/>
              </w:rPr>
              <w:t>ו</w:t>
            </w:r>
            <w:r w:rsidRPr="00673B06">
              <w:rPr>
                <w:rFonts w:ascii="Arial" w:hAnsi="Arial" w:cs="David"/>
                <w:noProof/>
                <w:sz w:val="24"/>
                <w:szCs w:val="24"/>
                <w:rtl/>
              </w:rPr>
              <w:t>במקרים בהם היא עשויה להשפיע מהותית על זכויות בעל הדין, לגרום נזק ממשי או לגרום לקיומו של הליך שגוי או מיותר</w:t>
            </w:r>
            <w:r w:rsidRPr="00673B06">
              <w:rPr>
                <w:rFonts w:ascii="Arial" w:hAnsi="Arial" w:cs="David" w:hint="cs"/>
                <w:noProof/>
                <w:sz w:val="24"/>
                <w:szCs w:val="24"/>
                <w:rtl/>
              </w:rPr>
              <w:t xml:space="preserve"> (רע"א 1665/15</w:t>
            </w:r>
            <w:r w:rsidRPr="00673B06">
              <w:rPr>
                <w:rFonts w:ascii="Arial" w:hAnsi="Arial" w:cs="David"/>
                <w:noProof/>
                <w:sz w:val="24"/>
                <w:szCs w:val="24"/>
                <w:rtl/>
              </w:rPr>
              <w:t xml:space="preserve"> </w:t>
            </w:r>
            <w:r w:rsidRPr="00673B06">
              <w:rPr>
                <w:rFonts w:ascii="Arial" w:hAnsi="Arial" w:cs="David"/>
                <w:b/>
                <w:bCs/>
                <w:noProof/>
                <w:sz w:val="24"/>
                <w:szCs w:val="24"/>
                <w:rtl/>
              </w:rPr>
              <w:t>אטיאס נ' רוסו</w:t>
            </w:r>
            <w:r w:rsidRPr="00673B06">
              <w:rPr>
                <w:rFonts w:ascii="Arial" w:hAnsi="Arial" w:cs="David"/>
                <w:noProof/>
                <w:sz w:val="24"/>
                <w:szCs w:val="24"/>
                <w:rtl/>
              </w:rPr>
              <w:t xml:space="preserve">, פורסם </w:t>
            </w:r>
            <w:r w:rsidRPr="00673B06">
              <w:rPr>
                <w:rFonts w:ascii="Arial" w:hAnsi="Arial" w:cs="David" w:hint="cs"/>
                <w:noProof/>
                <w:sz w:val="24"/>
                <w:szCs w:val="24"/>
                <w:rtl/>
              </w:rPr>
              <w:t xml:space="preserve"> </w:t>
            </w:r>
            <w:r w:rsidRPr="00673B06">
              <w:rPr>
                <w:rFonts w:ascii="Arial" w:hAnsi="Arial" w:cs="David"/>
                <w:noProof/>
                <w:sz w:val="24"/>
                <w:szCs w:val="24"/>
                <w:rtl/>
              </w:rPr>
              <w:t>במאגרים האלקטרוניים;</w:t>
            </w:r>
            <w:r w:rsidRPr="00673B06">
              <w:rPr>
                <w:rFonts w:ascii="Arial" w:hAnsi="Arial" w:cs="David" w:hint="cs"/>
                <w:noProof/>
                <w:sz w:val="24"/>
                <w:szCs w:val="24"/>
                <w:rtl/>
              </w:rPr>
              <w:t xml:space="preserve"> רע"א 6830/15</w:t>
            </w:r>
            <w:r w:rsidRPr="00673B06">
              <w:rPr>
                <w:rFonts w:ascii="Arial" w:hAnsi="Arial" w:cs="David"/>
                <w:noProof/>
                <w:sz w:val="24"/>
                <w:szCs w:val="24"/>
                <w:rtl/>
              </w:rPr>
              <w:t xml:space="preserve"> </w:t>
            </w:r>
            <w:r w:rsidRPr="00673B06">
              <w:rPr>
                <w:rFonts w:ascii="Arial" w:hAnsi="Arial" w:cs="David"/>
                <w:b/>
                <w:bCs/>
                <w:noProof/>
                <w:sz w:val="24"/>
                <w:szCs w:val="24"/>
                <w:rtl/>
              </w:rPr>
              <w:t>פלוני נ' פלונית</w:t>
            </w:r>
            <w:r w:rsidRPr="00673B06">
              <w:rPr>
                <w:rFonts w:ascii="Arial" w:hAnsi="Arial" w:cs="David"/>
                <w:noProof/>
                <w:sz w:val="24"/>
                <w:szCs w:val="24"/>
                <w:rtl/>
              </w:rPr>
              <w:t>, פורסם במאגרים האלקטרוניים</w:t>
            </w:r>
            <w:r w:rsidRPr="00673B06">
              <w:rPr>
                <w:rFonts w:ascii="Arial" w:hAnsi="Arial" w:cs="David" w:hint="cs"/>
                <w:noProof/>
                <w:sz w:val="24"/>
                <w:szCs w:val="24"/>
                <w:rtl/>
              </w:rPr>
              <w:t>)</w:t>
            </w:r>
            <w:r w:rsidRPr="00673B06">
              <w:rPr>
                <w:rFonts w:ascii="Arial" w:hAnsi="Arial" w:cs="David"/>
                <w:noProof/>
                <w:sz w:val="24"/>
                <w:szCs w:val="24"/>
                <w:rtl/>
              </w:rPr>
              <w:t>.</w:t>
            </w:r>
          </w:p>
          <w:p w:rsidR="00673B06" w:rsidRPr="00673B06" w:rsidRDefault="00673B06" w:rsidP="00673B06">
            <w:pPr>
              <w:ind w:left="720"/>
              <w:contextualSpacing/>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Pr>
            </w:pPr>
            <w:r w:rsidRPr="00673B06">
              <w:rPr>
                <w:rFonts w:ascii="Arial" w:hAnsi="Arial" w:cs="David" w:hint="cs"/>
                <w:noProof/>
                <w:sz w:val="24"/>
                <w:szCs w:val="24"/>
                <w:rtl/>
              </w:rPr>
              <w:lastRenderedPageBreak/>
              <w:t xml:space="preserve">כך, למשל, ב-רע"א 7682/06 </w:t>
            </w:r>
            <w:r w:rsidRPr="00673B06">
              <w:rPr>
                <w:rFonts w:ascii="Arial" w:hAnsi="Arial" w:cs="David" w:hint="cs"/>
                <w:b/>
                <w:bCs/>
                <w:noProof/>
                <w:sz w:val="24"/>
                <w:szCs w:val="24"/>
                <w:rtl/>
              </w:rPr>
              <w:t>אליהו חברה לביטוח נ' חיים אלוש</w:t>
            </w:r>
            <w:r w:rsidRPr="00673B06">
              <w:rPr>
                <w:rFonts w:ascii="Arial" w:hAnsi="Arial" w:cs="David" w:hint="cs"/>
                <w:noProof/>
                <w:sz w:val="24"/>
                <w:szCs w:val="24"/>
                <w:rtl/>
              </w:rPr>
              <w:t xml:space="preserve"> (פורסם במאגרים האלקטרוניים) נקבע, כי: </w:t>
            </w:r>
            <w:r w:rsidRPr="00673B06">
              <w:rPr>
                <w:rFonts w:ascii="Arial" w:hAnsi="Arial" w:cs="David" w:hint="cs"/>
                <w:b/>
                <w:bCs/>
                <w:noProof/>
                <w:sz w:val="24"/>
                <w:szCs w:val="24"/>
                <w:rtl/>
              </w:rPr>
              <w:t>"... ככל שהחלטת הביניים היא בעלת השפעה מכריעה יותר על זכויות הצדדים או על אופן ניהול הדיון בערכאה הדיונית, כך שיהיה קשה יותר להשיב את המצב לקדמותו אם יתברר בשלב מאוחר יותר שההחלטה הייתה שגויה, ייטה בית המשפט שלא לדחות את הבירור לשלב הערעור על פסק הדין... הנטייה להתיר את הערעור המיידי תתגבר ככל שהחלטת הביניים היא בעלת אופי בלתי הדיר..."</w:t>
            </w:r>
            <w:r w:rsidRPr="00673B06">
              <w:rPr>
                <w:rFonts w:ascii="Arial" w:hAnsi="Arial" w:cs="David" w:hint="cs"/>
                <w:noProof/>
                <w:sz w:val="24"/>
                <w:szCs w:val="24"/>
                <w:rtl/>
              </w:rPr>
              <w:t xml:space="preserve">. </w:t>
            </w:r>
          </w:p>
          <w:p w:rsidR="00673B06" w:rsidRPr="00673B06" w:rsidRDefault="00673B06" w:rsidP="00673B06">
            <w:pPr>
              <w:ind w:left="720"/>
              <w:contextualSpacing/>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Pr>
            </w:pPr>
            <w:r w:rsidRPr="00673B06">
              <w:rPr>
                <w:rFonts w:ascii="Arial" w:hAnsi="Arial" w:cs="David" w:hint="cs"/>
                <w:noProof/>
                <w:sz w:val="24"/>
                <w:szCs w:val="24"/>
                <w:rtl/>
              </w:rPr>
              <w:t xml:space="preserve">מקרה נוסף שהגיע להכרעת בית המשפט העליון ויש בו לשפוך אור גם על ההכרעה בענייננו הוא רע"א 3337/12 </w:t>
            </w:r>
            <w:r w:rsidRPr="00673B06">
              <w:rPr>
                <w:rFonts w:ascii="Arial" w:hAnsi="Arial" w:cs="David" w:hint="cs"/>
                <w:b/>
                <w:bCs/>
                <w:noProof/>
                <w:sz w:val="24"/>
                <w:szCs w:val="24"/>
                <w:rtl/>
              </w:rPr>
              <w:t>ליברפול נכסים והשקעות בע"מ נ' עידן פרוביזור אחזקות בע"מ</w:t>
            </w:r>
            <w:r w:rsidRPr="00673B06">
              <w:rPr>
                <w:rFonts w:ascii="Arial" w:hAnsi="Arial" w:cs="David" w:hint="cs"/>
                <w:noProof/>
                <w:sz w:val="24"/>
                <w:szCs w:val="24"/>
                <w:rtl/>
              </w:rPr>
              <w:t xml:space="preserve"> (פורסם במאגרים האלקטרוניים) בו נדונה בקשת רשות ערעור ב"גלגול שלישי" על החלטת בית המשפט המחוזי על פיה  בוטלה החלטת בית משפט השלום בעניין גילוי מסמכים ומענה על שאלונים, הנושאת, כידוע, אופי דיוני- ניהולי. בית המשפט המחוזי ביטל את החלטת בית משפט השלום משמצא, כי היא נעדרת הנמקה כנדרש. בבקשת רשות הערעור שהוגשה לבית המשפט העליון נטען, בין היתר, כי בית המשפט המחוזי מנוע היה מלהתערב בהחלטת בית משפט השלום, בין היתר  משום שעניינה נמנה עם אחד הנושאים הנקובים בצו בתי המשפט לגביהם אין ליתן רשות ערעור. בקשת רשות הערעור נדחתה ע"י בית המשפט העליון, תוך שנקבע, כי שעה שהחלטת בית משפט השלום לא נומקה כדבעי, רשאי היה בית המשפט המחוזי לדון בבקשת רשות הערעור לגופה, חרף הוראות הצו. </w:t>
            </w:r>
          </w:p>
          <w:p w:rsidR="00673B06" w:rsidRPr="00673B06" w:rsidRDefault="00673B06" w:rsidP="00673B06">
            <w:pPr>
              <w:ind w:left="720"/>
              <w:contextualSpacing/>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noProof/>
                <w:sz w:val="24"/>
                <w:szCs w:val="24"/>
                <w:rtl/>
              </w:rPr>
              <w:t>וכך נקבע בפסקה 11 שם:</w:t>
            </w: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b/>
                <w:bCs/>
                <w:noProof/>
                <w:sz w:val="24"/>
                <w:szCs w:val="24"/>
                <w:rtl/>
              </w:rPr>
              <w:t xml:space="preserve">"... כשמדובר בפגם החיצוני לתוכן ההחלטה, פגם היורד לשורש העניין הפוגע בכללי הצדק הטבעי </w:t>
            </w:r>
            <w:r w:rsidRPr="00673B06">
              <w:rPr>
                <w:rFonts w:ascii="Arial" w:hAnsi="Arial" w:cs="David"/>
                <w:b/>
                <w:bCs/>
                <w:noProof/>
                <w:sz w:val="24"/>
                <w:szCs w:val="24"/>
                <w:rtl/>
              </w:rPr>
              <w:t>–</w:t>
            </w:r>
            <w:r w:rsidRPr="00673B06">
              <w:rPr>
                <w:rFonts w:ascii="Arial" w:hAnsi="Arial" w:cs="David" w:hint="cs"/>
                <w:b/>
                <w:bCs/>
                <w:noProof/>
                <w:sz w:val="24"/>
                <w:szCs w:val="24"/>
                <w:rtl/>
              </w:rPr>
              <w:t xml:space="preserve"> כגון היעדר הנמקה היכן שהיה על הערכאה הדיונית ליתן נימוק </w:t>
            </w:r>
            <w:r w:rsidRPr="00673B06">
              <w:rPr>
                <w:rFonts w:ascii="Arial" w:hAnsi="Arial" w:cs="David"/>
                <w:b/>
                <w:bCs/>
                <w:noProof/>
                <w:sz w:val="24"/>
                <w:szCs w:val="24"/>
                <w:rtl/>
              </w:rPr>
              <w:t>–</w:t>
            </w:r>
            <w:r w:rsidRPr="00673B06">
              <w:rPr>
                <w:rFonts w:ascii="Arial" w:hAnsi="Arial" w:cs="David" w:hint="cs"/>
                <w:b/>
                <w:bCs/>
                <w:noProof/>
                <w:sz w:val="24"/>
                <w:szCs w:val="24"/>
                <w:rtl/>
              </w:rPr>
              <w:t xml:space="preserve"> אזי למעשה אין הצו חל וממילא אין כל מניעה לתת רשות ערעור בעניין זה... [צו בתי המשפט] אינו מונע מערכאת הערעור לבחון פגם החורג מתוכן ההחלטה כגון היעדר נימוק, מקום בו סוג ההחלטה חייב הנמקה, ולהשיב את הנושא הנדון לערכאה הדיונית לצורך מתן הנמקה"</w:t>
            </w:r>
            <w:r w:rsidRPr="00673B06">
              <w:rPr>
                <w:rFonts w:ascii="Arial" w:hAnsi="Arial" w:cs="David" w:hint="cs"/>
                <w:noProof/>
                <w:sz w:val="24"/>
                <w:szCs w:val="24"/>
                <w:rtl/>
              </w:rPr>
              <w:t xml:space="preserve">. </w:t>
            </w:r>
          </w:p>
          <w:p w:rsidR="00673B06" w:rsidRPr="00673B06" w:rsidRDefault="00673B06" w:rsidP="00673B06">
            <w:pPr>
              <w:spacing w:line="360" w:lineRule="auto"/>
              <w:ind w:left="786"/>
              <w:contextualSpacing/>
              <w:jc w:val="both"/>
              <w:rPr>
                <w:rFonts w:ascii="Arial" w:hAnsi="Arial" w:cs="David"/>
                <w:noProof/>
                <w:sz w:val="24"/>
                <w:szCs w:val="24"/>
              </w:rPr>
            </w:pPr>
          </w:p>
          <w:p w:rsidR="00673B06" w:rsidRPr="00673B06" w:rsidRDefault="00673B06" w:rsidP="00673B06">
            <w:pPr>
              <w:spacing w:line="360" w:lineRule="auto"/>
              <w:ind w:left="426"/>
              <w:contextualSpacing/>
              <w:jc w:val="both"/>
              <w:rPr>
                <w:rFonts w:ascii="David" w:eastAsia="Calibri" w:hAnsi="David" w:cs="David"/>
                <w:sz w:val="24"/>
                <w:szCs w:val="24"/>
              </w:rPr>
            </w:pPr>
            <w:r w:rsidRPr="00673B06">
              <w:rPr>
                <w:rFonts w:ascii="David" w:hAnsi="David" w:cs="David" w:hint="cs"/>
                <w:sz w:val="24"/>
                <w:szCs w:val="24"/>
                <w:rtl/>
              </w:rPr>
              <w:t>בהקשר זה</w:t>
            </w:r>
            <w:r w:rsidRPr="00673B06">
              <w:rPr>
                <w:rFonts w:ascii="David" w:hAnsi="David" w:cs="David"/>
                <w:sz w:val="24"/>
                <w:szCs w:val="24"/>
                <w:rtl/>
              </w:rPr>
              <w:t xml:space="preserve"> נזכיר מושכלות יסוד בשיטתנו המשפטית בעניין חובתה של ערכאה שיפוטית </w:t>
            </w:r>
            <w:r w:rsidRPr="00673B06">
              <w:rPr>
                <w:rFonts w:ascii="David" w:eastAsia="Calibri" w:hAnsi="David" w:cs="David"/>
                <w:sz w:val="24"/>
                <w:szCs w:val="24"/>
                <w:rtl/>
              </w:rPr>
              <w:t xml:space="preserve">המוציאה תחת ידה פסק דין או החלטה לנמקם. חובה זו מעוגנת כיום בתקנה 129 (ב) לתקנות סדר הדין האזרחי. בפסיקת בית המשפט העליון נקבע, כי היא מטילה על בית המשפט לנמק פסקי הדין וההחלטות שלו, וככל שאין הוא עומד בחובתו, כי אז לוקים הם בפגם חמור (ראו למשל: רע"א 8997/07 </w:t>
            </w:r>
            <w:proofErr w:type="spellStart"/>
            <w:r w:rsidRPr="00673B06">
              <w:rPr>
                <w:rFonts w:ascii="David" w:eastAsia="Calibri" w:hAnsi="David" w:cs="David"/>
                <w:b/>
                <w:bCs/>
                <w:sz w:val="24"/>
                <w:szCs w:val="24"/>
                <w:rtl/>
              </w:rPr>
              <w:t>צלר</w:t>
            </w:r>
            <w:proofErr w:type="spellEnd"/>
            <w:r w:rsidRPr="00673B06">
              <w:rPr>
                <w:rFonts w:ascii="David" w:eastAsia="Calibri" w:hAnsi="David" w:cs="David"/>
                <w:b/>
                <w:bCs/>
                <w:sz w:val="24"/>
                <w:szCs w:val="24"/>
                <w:rtl/>
              </w:rPr>
              <w:t xml:space="preserve"> נ' עופר גבריאלי, עו"ד – מפרק שט-גד שירותי טרקטורים בע"מ (בפירוק), </w:t>
            </w:r>
            <w:r w:rsidRPr="00673B06">
              <w:rPr>
                <w:rFonts w:ascii="David" w:eastAsia="Calibri" w:hAnsi="David" w:cs="David"/>
                <w:sz w:val="24"/>
                <w:szCs w:val="24"/>
                <w:rtl/>
              </w:rPr>
              <w:t>פורסם במאגרים האלקטרוניים</w:t>
            </w:r>
            <w:r w:rsidRPr="00673B06">
              <w:rPr>
                <w:rFonts w:ascii="David" w:eastAsia="Calibri" w:hAnsi="David" w:cs="David"/>
                <w:b/>
                <w:bCs/>
                <w:sz w:val="24"/>
                <w:szCs w:val="24"/>
                <w:rtl/>
              </w:rPr>
              <w:t xml:space="preserve">; </w:t>
            </w:r>
            <w:r w:rsidRPr="00673B06">
              <w:rPr>
                <w:rFonts w:ascii="David" w:eastAsia="Calibri" w:hAnsi="David" w:cs="David"/>
                <w:sz w:val="24"/>
                <w:szCs w:val="24"/>
                <w:rtl/>
              </w:rPr>
              <w:t>רע"א 4224/06</w:t>
            </w:r>
            <w:r w:rsidRPr="00673B06">
              <w:rPr>
                <w:rFonts w:ascii="David" w:eastAsia="Calibri" w:hAnsi="David" w:cs="David"/>
                <w:b/>
                <w:bCs/>
                <w:sz w:val="24"/>
                <w:szCs w:val="24"/>
                <w:rtl/>
              </w:rPr>
              <w:t xml:space="preserve"> דדון נ' כרמל, </w:t>
            </w:r>
            <w:r w:rsidRPr="00673B06">
              <w:rPr>
                <w:rFonts w:ascii="David" w:eastAsia="Calibri" w:hAnsi="David" w:cs="David"/>
                <w:sz w:val="24"/>
                <w:szCs w:val="24"/>
                <w:rtl/>
              </w:rPr>
              <w:t xml:space="preserve">פורסם במאגרים האלקטרוניים). </w:t>
            </w:r>
          </w:p>
          <w:p w:rsidR="00673B06" w:rsidRPr="00673B06" w:rsidRDefault="00673B06" w:rsidP="00673B06">
            <w:pPr>
              <w:ind w:left="794"/>
              <w:contextualSpacing/>
              <w:jc w:val="both"/>
              <w:rPr>
                <w:rFonts w:ascii="David" w:eastAsia="Calibri" w:hAnsi="David" w:cs="David"/>
                <w:sz w:val="24"/>
                <w:szCs w:val="24"/>
              </w:rPr>
            </w:pPr>
          </w:p>
          <w:p w:rsidR="00673B06" w:rsidRPr="00673B06" w:rsidRDefault="00673B06" w:rsidP="00673B06">
            <w:pPr>
              <w:spacing w:line="360" w:lineRule="auto"/>
              <w:ind w:left="426"/>
              <w:contextualSpacing/>
              <w:jc w:val="both"/>
              <w:rPr>
                <w:rFonts w:ascii="David" w:eastAsia="Calibri" w:hAnsi="David" w:cs="David"/>
                <w:sz w:val="24"/>
                <w:szCs w:val="24"/>
              </w:rPr>
            </w:pPr>
            <w:r w:rsidRPr="00673B06">
              <w:rPr>
                <w:rFonts w:ascii="David" w:eastAsia="Calibri" w:hAnsi="David" w:cs="David"/>
                <w:sz w:val="24"/>
                <w:szCs w:val="24"/>
                <w:rtl/>
              </w:rPr>
              <w:t xml:space="preserve">אף כי תכליתה של חובת ההנמקה ידועה, נזכיר שניים מבין האדנים עליהם היא נשענת – מתן אפשרות לצדדים להבין יסודות ההחלטה; ומתן אפשרות לערכאת הערעור להעבירה תחת שבט ביקורתה. </w:t>
            </w:r>
          </w:p>
          <w:p w:rsidR="00673B06" w:rsidRPr="00673B06" w:rsidRDefault="00673B06" w:rsidP="00673B06">
            <w:pPr>
              <w:ind w:left="720"/>
              <w:contextualSpacing/>
              <w:rPr>
                <w:rFonts w:ascii="David" w:eastAsia="Calibri" w:hAnsi="David" w:cs="David"/>
                <w:sz w:val="24"/>
                <w:szCs w:val="24"/>
                <w:rtl/>
              </w:rPr>
            </w:pPr>
          </w:p>
          <w:p w:rsidR="00673B06" w:rsidRPr="00673B06" w:rsidRDefault="00673B06" w:rsidP="00673B06">
            <w:pPr>
              <w:spacing w:line="360" w:lineRule="auto"/>
              <w:ind w:left="426"/>
              <w:contextualSpacing/>
              <w:jc w:val="both"/>
              <w:rPr>
                <w:rFonts w:ascii="David" w:eastAsia="Calibri" w:hAnsi="David" w:cs="David"/>
                <w:sz w:val="24"/>
                <w:szCs w:val="24"/>
              </w:rPr>
            </w:pPr>
            <w:r w:rsidRPr="00673B06">
              <w:rPr>
                <w:rFonts w:ascii="David" w:eastAsia="Calibri" w:hAnsi="David" w:cs="David" w:hint="cs"/>
                <w:sz w:val="24"/>
                <w:szCs w:val="24"/>
                <w:rtl/>
              </w:rPr>
              <w:t xml:space="preserve">מובן גם, כי היקף חובת ההנמקה משתנה ממקרה למקרה בהתאם לנסיבות ולמהות ההחלטה, ובידי הערכאה הדיונית שיקול הדעת לשרטט גבולותיו, אך החובה לעולם קיימת. </w:t>
            </w:r>
          </w:p>
          <w:p w:rsidR="00673B06" w:rsidRPr="00673B06" w:rsidRDefault="00673B06" w:rsidP="00673B06">
            <w:pPr>
              <w:ind w:left="720"/>
              <w:contextualSpacing/>
              <w:rPr>
                <w:rFonts w:ascii="David" w:eastAsia="Calibri" w:hAnsi="David" w:cs="David"/>
                <w:sz w:val="24"/>
                <w:szCs w:val="24"/>
                <w:rtl/>
              </w:rPr>
            </w:pPr>
          </w:p>
          <w:p w:rsidR="00673B06" w:rsidRPr="00673B06" w:rsidRDefault="00673B06" w:rsidP="00673B06">
            <w:pPr>
              <w:spacing w:line="360" w:lineRule="auto"/>
              <w:ind w:left="426"/>
              <w:contextualSpacing/>
              <w:jc w:val="both"/>
              <w:rPr>
                <w:rFonts w:ascii="David" w:eastAsia="Calibri" w:hAnsi="David" w:cs="David"/>
                <w:sz w:val="24"/>
                <w:szCs w:val="24"/>
                <w:rtl/>
              </w:rPr>
            </w:pPr>
            <w:r w:rsidRPr="00673B06">
              <w:rPr>
                <w:rFonts w:ascii="David" w:eastAsia="Calibri" w:hAnsi="David" w:cs="David" w:hint="cs"/>
                <w:b/>
                <w:bCs/>
                <w:sz w:val="24"/>
                <w:szCs w:val="24"/>
                <w:rtl/>
              </w:rPr>
              <w:lastRenderedPageBreak/>
              <w:t>בענייננו</w:t>
            </w:r>
            <w:r w:rsidRPr="00673B06">
              <w:rPr>
                <w:rFonts w:ascii="David" w:eastAsia="Calibri" w:hAnsi="David" w:cs="David" w:hint="cs"/>
                <w:sz w:val="24"/>
                <w:szCs w:val="24"/>
                <w:rtl/>
              </w:rPr>
              <w:t xml:space="preserve"> מדובר בהחלטה דיונית-ניהולית מובהקת הנטועה בלבת שיקול הדעת של הערכאה הדיונית בידה נתון השרביט, וככלל היא אשר תקבע, עפ"י הבנתה, אופן בירור ההליך המובא לפתחה להכרעה.</w:t>
            </w:r>
          </w:p>
          <w:p w:rsidR="00673B06" w:rsidRPr="00673B06" w:rsidRDefault="00673B06" w:rsidP="00673B06">
            <w:pPr>
              <w:spacing w:line="360" w:lineRule="auto"/>
              <w:ind w:left="426"/>
              <w:contextualSpacing/>
              <w:jc w:val="both"/>
              <w:rPr>
                <w:rFonts w:ascii="David" w:eastAsia="Calibri" w:hAnsi="David" w:cs="David"/>
                <w:sz w:val="24"/>
                <w:szCs w:val="24"/>
                <w:rtl/>
              </w:rPr>
            </w:pPr>
          </w:p>
          <w:p w:rsidR="00673B06" w:rsidRPr="00673B06" w:rsidRDefault="00673B06" w:rsidP="00673B06">
            <w:pPr>
              <w:spacing w:line="360" w:lineRule="auto"/>
              <w:ind w:left="426"/>
              <w:contextualSpacing/>
              <w:jc w:val="both"/>
              <w:rPr>
                <w:rFonts w:ascii="David" w:eastAsia="Calibri" w:hAnsi="David" w:cs="David"/>
                <w:sz w:val="24"/>
                <w:szCs w:val="24"/>
                <w:rtl/>
              </w:rPr>
            </w:pPr>
            <w:r w:rsidRPr="00673B06">
              <w:rPr>
                <w:rFonts w:ascii="David" w:eastAsia="Calibri" w:hAnsi="David" w:cs="David" w:hint="cs"/>
                <w:sz w:val="24"/>
                <w:szCs w:val="24"/>
                <w:rtl/>
              </w:rPr>
              <w:t xml:space="preserve">דא עקא, שהשתלשלות העניינים בהליך קמא באשר פורטה לעיל מעוררת קושי נוכח ההחלטות השונות (והרבות) שניתנו, אשר חלקן עומדות בסתירה זו לזו. ההחלטה מושא בקשת רשות הערעור סותרת החלטה קודמת שניתנה ביום 02.03.2024 בגדרה נקבע, בין היתר, לאמור: </w:t>
            </w:r>
            <w:r w:rsidRPr="00673B06">
              <w:rPr>
                <w:rFonts w:ascii="David" w:eastAsia="Calibri" w:hAnsi="David" w:cs="David" w:hint="cs"/>
                <w:b/>
                <w:bCs/>
                <w:sz w:val="24"/>
                <w:szCs w:val="24"/>
                <w:rtl/>
              </w:rPr>
              <w:t>"... הצדדים הסכימו על ההסדר הדיוני המוצע שמהותו נגזרת מכך שהשאלות השנויות במחלוקת הן שאלות משפטיות ולכן לא נדרש קיום הוכחות לצורך הדיון בהן איך, הגשת המסמכים מטעם התובעת מייצרת צורך בקיום הוכחות..."</w:t>
            </w:r>
            <w:r w:rsidRPr="00673B06">
              <w:rPr>
                <w:rFonts w:ascii="David" w:eastAsia="Calibri" w:hAnsi="David" w:cs="David" w:hint="cs"/>
                <w:sz w:val="24"/>
                <w:szCs w:val="24"/>
                <w:rtl/>
              </w:rPr>
              <w:t xml:space="preserve">, וכן: </w:t>
            </w:r>
            <w:r w:rsidRPr="00673B06">
              <w:rPr>
                <w:rFonts w:ascii="David" w:eastAsia="Calibri" w:hAnsi="David" w:cs="David" w:hint="cs"/>
                <w:b/>
                <w:bCs/>
                <w:sz w:val="24"/>
                <w:szCs w:val="24"/>
                <w:rtl/>
              </w:rPr>
              <w:t>"משהוגשו המסמכים מיצה ההסדר הדיוני את עצמו ולא ניתן לחזור אחורה בזמן. כך משניתנה החלטתי על צירוף</w:t>
            </w:r>
            <w:r w:rsidRPr="00673B06">
              <w:rPr>
                <w:rFonts w:ascii="David" w:eastAsia="Calibri" w:hAnsi="David" w:cs="David" w:hint="cs"/>
                <w:sz w:val="24"/>
                <w:szCs w:val="24"/>
                <w:rtl/>
              </w:rPr>
              <w:t xml:space="preserve"> </w:t>
            </w:r>
            <w:r w:rsidRPr="00673B06">
              <w:rPr>
                <w:rFonts w:ascii="David" w:eastAsia="Calibri" w:hAnsi="David" w:cs="David" w:hint="cs"/>
                <w:b/>
                <w:bCs/>
                <w:sz w:val="24"/>
                <w:szCs w:val="24"/>
                <w:rtl/>
              </w:rPr>
              <w:t>המסמכים והכשרת צירופם, גם אם בשגגה כסברת הנתבע, ומשעה שלא הוגשה כאמור, בקשת רשות ערעור, על ההחלטה די בכך כדי לדחות הבקשה לביטול ההסדר הדיוני. לא נעלמה מעיני החלטתי מיום 26/9/23 אולם, לאחר שבחנתי את הדברים כאמור אין מקום לחזרה מההסדר הדיוני. בזהירות הראויה יאמר שבקשתו של הנתבע לפסול את ההסדר על קרבו וכרעיו יוצרת תחושה לא נוחה שהנתבע מבקש להכריע את המהות על ידי הפרוצדורה, שניתנת לתיקון...".</w:t>
            </w:r>
            <w:r w:rsidRPr="00673B06">
              <w:rPr>
                <w:rFonts w:ascii="David" w:eastAsia="Calibri" w:hAnsi="David" w:cs="David" w:hint="cs"/>
                <w:sz w:val="24"/>
                <w:szCs w:val="24"/>
                <w:rtl/>
              </w:rPr>
              <w:t xml:space="preserve"> </w:t>
            </w:r>
          </w:p>
          <w:p w:rsidR="00673B06" w:rsidRPr="00673B06" w:rsidRDefault="00673B06" w:rsidP="00673B06">
            <w:pPr>
              <w:ind w:left="720"/>
              <w:contextualSpacing/>
              <w:rPr>
                <w:rFonts w:ascii="David" w:eastAsia="Calibri" w:hAnsi="David" w:cs="David"/>
                <w:sz w:val="24"/>
                <w:szCs w:val="24"/>
              </w:rPr>
            </w:pP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noProof/>
                <w:sz w:val="24"/>
                <w:szCs w:val="24"/>
                <w:rtl/>
              </w:rPr>
              <w:t xml:space="preserve">למקרא ההחלטה עולה, כי יש בה התייחסות מקיפה לאופי המסמכים שצורפו ע"י המבקשת לסיכומיה ומצויים בלבת המחלוקת שלפנינו, תוך התייחסות לטענות המשיב בעניין ולאפשרות העומדת לו לסתור תוכנם. בנוסף, בהחלטה יש התייחסות לפן הנורמטיבי -פרוצדורלי בשאלת צירוף מסמכים בשלב מתקדם יחסית של ההליך השיפוטי וקביעות  נחרצות בעניין חוסנו ותוקפו של ההסדר הדיוני שהושג. </w:t>
            </w:r>
          </w:p>
          <w:p w:rsidR="00673B06" w:rsidRPr="00673B06" w:rsidRDefault="00673B06" w:rsidP="00673B06">
            <w:pPr>
              <w:spacing w:line="360" w:lineRule="auto"/>
              <w:ind w:left="426"/>
              <w:contextualSpacing/>
              <w:jc w:val="both"/>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noProof/>
                <w:sz w:val="24"/>
                <w:szCs w:val="24"/>
                <w:rtl/>
              </w:rPr>
              <w:t xml:space="preserve">מבלי להביע עמדה בנוגע לקביעות בית המשפט בהחלטה האמורה ברי, כי ההחלטה מושא בקשת רשות הערעור שלפנינו עומדת  בסתירה לה והיא ניתנה בהעדר כל הנמקה. </w:t>
            </w: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noProof/>
                <w:sz w:val="24"/>
                <w:szCs w:val="24"/>
                <w:rtl/>
              </w:rPr>
              <w:t xml:space="preserve">יוזכר, כי עסקינן בהחלטה קצרה אשר זו לשונה: </w:t>
            </w:r>
            <w:r w:rsidRPr="00673B06">
              <w:rPr>
                <w:rFonts w:ascii="Arial" w:hAnsi="Arial" w:cs="David" w:hint="cs"/>
                <w:b/>
                <w:bCs/>
                <w:noProof/>
                <w:sz w:val="24"/>
                <w:szCs w:val="24"/>
                <w:rtl/>
              </w:rPr>
              <w:t>"משכך התיק ייקבע לשמיעת הוכחות אשר ייקבעו על פי היומן ככל הנראה לאחר חגי תשרי הבאים".</w:t>
            </w:r>
            <w:r w:rsidRPr="00673B06">
              <w:rPr>
                <w:rFonts w:ascii="Arial" w:hAnsi="Arial" w:cs="David" w:hint="cs"/>
                <w:noProof/>
                <w:sz w:val="24"/>
                <w:szCs w:val="24"/>
                <w:rtl/>
              </w:rPr>
              <w:t xml:space="preserve"> </w:t>
            </w:r>
          </w:p>
          <w:p w:rsidR="00673B06" w:rsidRPr="00673B06" w:rsidRDefault="00673B06" w:rsidP="00673B06">
            <w:pPr>
              <w:spacing w:line="360" w:lineRule="auto"/>
              <w:ind w:left="426"/>
              <w:contextualSpacing/>
              <w:jc w:val="both"/>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noProof/>
                <w:sz w:val="24"/>
                <w:szCs w:val="24"/>
                <w:rtl/>
              </w:rPr>
              <w:t xml:space="preserve">הנה כי כן ואף אם לצורך הדיון ומבלי להביע עמדה בעניין בראי נסיבות המקרה דנא, נניח,  כי  נקודת המוצא היא, שבידי בית המשפט מסורה הסמכות לשנות החלטה דיונית-ניהולית שניתנה על ידו, תוך כדי ניהול ההליך, הרי שלכל הפחות מחויב הוא לנמק מהלך זה וההחלטה בגדרה מבוטלת ההחלטה הקודמת לגופו של עניין.   </w:t>
            </w:r>
          </w:p>
          <w:p w:rsidR="00673B06" w:rsidRPr="00673B06" w:rsidRDefault="00673B06" w:rsidP="00673B06">
            <w:pPr>
              <w:spacing w:line="360" w:lineRule="auto"/>
              <w:ind w:left="426"/>
              <w:contextualSpacing/>
              <w:jc w:val="both"/>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noProof/>
                <w:sz w:val="24"/>
                <w:szCs w:val="24"/>
                <w:rtl/>
              </w:rPr>
              <w:t>במקרה דנא לא עמד בית המשפט בחובת ההנמקה המוטלת עליו, ולבד ממראית  פני הצדק שהיא ערך חשוב בפני עצמו  ויסוד מוסד בשיטתנו, הרי שבנסיבות המקרה שלפנינו יש בכך גם פגיעה בכללי הצדק הטבעי. לבעלי הדין זכות לדעת ולהבין את שעומד מאחרי החלטה שיפוטית הניתנת בעניינם  ושהיא ניתנה לאחר שקילת טענותיהם והבאתן בחשבון.</w:t>
            </w: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noProof/>
                <w:sz w:val="24"/>
                <w:szCs w:val="24"/>
                <w:rtl/>
              </w:rPr>
              <w:t>על אחת כמה וכמה נכון הדבר כאשר בית המשפט סב על עקביו, וחרף קביעות ברורות וחד משמעיות שלו הנתמכות בנימוקים עובדתיים ומשפטיים, מוצא הוא לנכון בשלב מאוחר יותר להחליט אחרת באופן המאיין קביעותיו הקודמות.</w:t>
            </w:r>
          </w:p>
          <w:p w:rsidR="00673B06" w:rsidRPr="00673B06" w:rsidRDefault="00673B06" w:rsidP="00673B06">
            <w:pPr>
              <w:spacing w:line="360" w:lineRule="auto"/>
              <w:ind w:left="426"/>
              <w:contextualSpacing/>
              <w:jc w:val="both"/>
              <w:rPr>
                <w:rFonts w:ascii="Arial" w:hAnsi="Arial" w:cs="David"/>
                <w:noProof/>
                <w:sz w:val="24"/>
                <w:szCs w:val="24"/>
                <w:rtl/>
              </w:rPr>
            </w:pPr>
          </w:p>
          <w:p w:rsidR="00673B06" w:rsidRPr="00673B06" w:rsidRDefault="00673B06" w:rsidP="00673B06">
            <w:pPr>
              <w:spacing w:before="120" w:line="360" w:lineRule="auto"/>
              <w:ind w:left="425"/>
              <w:contextualSpacing/>
              <w:jc w:val="both"/>
              <w:rPr>
                <w:rFonts w:ascii="Arial" w:hAnsi="Arial" w:cs="David"/>
                <w:noProof/>
                <w:sz w:val="24"/>
                <w:szCs w:val="24"/>
                <w:rtl/>
              </w:rPr>
            </w:pPr>
            <w:r w:rsidRPr="00673B06">
              <w:rPr>
                <w:rFonts w:ascii="Arial" w:hAnsi="Arial" w:cs="David" w:hint="cs"/>
                <w:noProof/>
                <w:sz w:val="24"/>
                <w:szCs w:val="24"/>
                <w:rtl/>
              </w:rPr>
              <w:t>לפיכך מצאתי, כי נפלה שגגה בדרך הילוכו של בית המשפט קמא באופן המצדיק ביטול ההחלטה מיום 15.04.2024 והשבת הדיון בבקשה לעיון מחדש בהחלטה מיום 02.03.2024, על מנת שהוא יידרש לה בשנית ויכריע בה בהתאם לחכמתו, תוך הנמקת כל החלטה שתתקבל על ידו כדבעי וכמתחייב בדין ובהתאם לנסיבותיו הקונקרטיות של ההליך המתנהל לפניו.</w:t>
            </w:r>
          </w:p>
          <w:p w:rsidR="00673B06" w:rsidRPr="00673B06" w:rsidRDefault="00673B06" w:rsidP="00673B06">
            <w:pPr>
              <w:spacing w:before="120" w:line="360" w:lineRule="auto"/>
              <w:ind w:left="425"/>
              <w:contextualSpacing/>
              <w:jc w:val="both"/>
              <w:rPr>
                <w:rFonts w:ascii="Arial" w:hAnsi="Arial" w:cs="David"/>
                <w:noProof/>
                <w:sz w:val="24"/>
                <w:szCs w:val="24"/>
                <w:rtl/>
              </w:rPr>
            </w:pPr>
            <w:r w:rsidRPr="00673B06">
              <w:rPr>
                <w:rFonts w:ascii="Arial" w:hAnsi="Arial" w:cs="David" w:hint="cs"/>
                <w:noProof/>
                <w:sz w:val="24"/>
                <w:szCs w:val="24"/>
                <w:rtl/>
              </w:rPr>
              <w:t xml:space="preserve"> </w:t>
            </w:r>
          </w:p>
          <w:p w:rsidR="00673B06" w:rsidRPr="00673B06" w:rsidRDefault="00673B06" w:rsidP="00673B06">
            <w:pPr>
              <w:spacing w:line="360" w:lineRule="auto"/>
              <w:ind w:left="426"/>
              <w:contextualSpacing/>
              <w:jc w:val="both"/>
              <w:rPr>
                <w:rFonts w:ascii="Arial" w:hAnsi="Arial" w:cs="David"/>
                <w:sz w:val="24"/>
                <w:szCs w:val="24"/>
              </w:rPr>
            </w:pPr>
            <w:r w:rsidRPr="00673B06">
              <w:rPr>
                <w:rFonts w:ascii="Arial" w:hAnsi="Arial" w:cs="David" w:hint="cs"/>
                <w:sz w:val="24"/>
                <w:szCs w:val="24"/>
                <w:rtl/>
              </w:rPr>
              <w:t>למען הסר ספק יובהר, כי אין בכך משום הבעת עמדה או נטיעת מסמרות בהתייחס לטענות הצדדים או מי מהם ואין בכך משום התערבות בשיקול הדעת של הערכאה הדיונית.</w:t>
            </w:r>
          </w:p>
          <w:p w:rsidR="00673B06" w:rsidRPr="00673B06" w:rsidRDefault="00673B06" w:rsidP="00673B06">
            <w:pPr>
              <w:jc w:val="both"/>
              <w:rPr>
                <w:rFonts w:ascii="Arial" w:hAnsi="Arial" w:cs="David"/>
                <w:sz w:val="24"/>
                <w:szCs w:val="24"/>
              </w:rPr>
            </w:pPr>
          </w:p>
          <w:p w:rsidR="00673B06" w:rsidRPr="00673B06" w:rsidRDefault="00673B06" w:rsidP="00673B06">
            <w:pPr>
              <w:spacing w:line="360" w:lineRule="auto"/>
              <w:ind w:left="426"/>
              <w:contextualSpacing/>
              <w:jc w:val="both"/>
              <w:rPr>
                <w:rFonts w:ascii="Arial" w:hAnsi="Arial" w:cs="David"/>
                <w:noProof/>
                <w:sz w:val="24"/>
                <w:szCs w:val="24"/>
                <w:rtl/>
              </w:rPr>
            </w:pPr>
            <w:r w:rsidRPr="00673B06">
              <w:rPr>
                <w:rFonts w:ascii="Arial" w:hAnsi="Arial" w:cs="David" w:hint="cs"/>
                <w:noProof/>
                <w:sz w:val="24"/>
                <w:szCs w:val="24"/>
                <w:rtl/>
              </w:rPr>
              <w:t xml:space="preserve">נוכח התוצאה שנתקבלה יישא המשיב בהוצאות המבקשת בסך 3,500 ₪. </w:t>
            </w:r>
          </w:p>
          <w:p w:rsidR="00673B06" w:rsidRPr="00673B06" w:rsidRDefault="00673B06" w:rsidP="00673B06">
            <w:pPr>
              <w:spacing w:line="360" w:lineRule="auto"/>
              <w:ind w:left="426"/>
              <w:contextualSpacing/>
              <w:jc w:val="both"/>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Pr>
            </w:pPr>
            <w:r w:rsidRPr="00673B06">
              <w:rPr>
                <w:rFonts w:ascii="Arial" w:hAnsi="Arial" w:cs="David" w:hint="cs"/>
                <w:noProof/>
                <w:sz w:val="24"/>
                <w:szCs w:val="24"/>
                <w:rtl/>
              </w:rPr>
              <w:t>הערבון שהופקד ע"י המבקשת על פירותיו יוחזר לה באמצעות בא כוחה.</w:t>
            </w:r>
          </w:p>
          <w:p w:rsidR="00673B06" w:rsidRPr="00673B06" w:rsidRDefault="00673B06" w:rsidP="00673B06">
            <w:pPr>
              <w:ind w:left="720"/>
              <w:contextualSpacing/>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Pr>
            </w:pPr>
            <w:r w:rsidRPr="00673B06">
              <w:rPr>
                <w:rFonts w:ascii="Arial" w:hAnsi="Arial" w:cs="David" w:hint="cs"/>
                <w:noProof/>
                <w:sz w:val="24"/>
                <w:szCs w:val="24"/>
                <w:rtl/>
              </w:rPr>
              <w:t xml:space="preserve">המזכירות תמציא ההחלטה לצדדים ותסגור התיק. </w:t>
            </w:r>
          </w:p>
          <w:p w:rsidR="00673B06" w:rsidRPr="00673B06" w:rsidRDefault="00673B06" w:rsidP="00673B06">
            <w:pPr>
              <w:ind w:left="720"/>
              <w:contextualSpacing/>
              <w:rPr>
                <w:rFonts w:ascii="Arial" w:hAnsi="Arial" w:cs="David"/>
                <w:noProof/>
                <w:sz w:val="24"/>
                <w:szCs w:val="24"/>
                <w:rtl/>
              </w:rPr>
            </w:pPr>
          </w:p>
          <w:p w:rsidR="00673B06" w:rsidRPr="00673B06" w:rsidRDefault="00673B06" w:rsidP="00673B06">
            <w:pPr>
              <w:spacing w:line="360" w:lineRule="auto"/>
              <w:ind w:left="426"/>
              <w:contextualSpacing/>
              <w:jc w:val="both"/>
              <w:rPr>
                <w:rFonts w:ascii="Arial" w:hAnsi="Arial" w:cs="David"/>
                <w:noProof/>
                <w:sz w:val="24"/>
                <w:szCs w:val="24"/>
              </w:rPr>
            </w:pPr>
            <w:r w:rsidRPr="00673B06">
              <w:rPr>
                <w:rFonts w:ascii="Arial" w:hAnsi="Arial" w:cs="David" w:hint="cs"/>
                <w:noProof/>
                <w:sz w:val="24"/>
                <w:szCs w:val="24"/>
                <w:rtl/>
              </w:rPr>
              <w:t xml:space="preserve">ההחלטה ניתנת לפרסום תוך השמטת שמות הצדדים ופרטים מזהים נוספים. </w:t>
            </w:r>
          </w:p>
          <w:p w:rsidR="00673B06" w:rsidRPr="00673B06" w:rsidRDefault="00673B06" w:rsidP="00673B06">
            <w:pPr>
              <w:spacing w:line="360" w:lineRule="auto"/>
              <w:jc w:val="both"/>
              <w:rPr>
                <w:rFonts w:ascii="Arial" w:hAnsi="Arial" w:cs="David"/>
                <w:b/>
                <w:bCs/>
                <w:sz w:val="28"/>
                <w:szCs w:val="28"/>
                <w:u w:val="single"/>
              </w:rPr>
            </w:pPr>
          </w:p>
        </w:tc>
      </w:tr>
      <w:tr w:rsidR="00673B06" w:rsidRPr="00673B06" w:rsidTr="00522F7B">
        <w:trPr>
          <w:jc w:val="center"/>
        </w:trPr>
        <w:tc>
          <w:tcPr>
            <w:tcW w:w="9036" w:type="dxa"/>
          </w:tcPr>
          <w:p w:rsidR="00673B06" w:rsidRPr="00673B06" w:rsidRDefault="00673B06" w:rsidP="00673B06">
            <w:pPr>
              <w:bidi w:val="0"/>
              <w:jc w:val="center"/>
              <w:rPr>
                <w:rFonts w:ascii="Arial" w:hAnsi="Arial" w:cs="David"/>
                <w:b/>
                <w:bCs/>
                <w:sz w:val="32"/>
                <w:szCs w:val="32"/>
                <w:u w:val="single"/>
                <w:rtl/>
              </w:rPr>
            </w:pPr>
          </w:p>
        </w:tc>
      </w:tr>
    </w:tbl>
    <w:p w:rsidR="00673B06" w:rsidRPr="00673B06" w:rsidRDefault="00673B06" w:rsidP="00673B06">
      <w:pPr>
        <w:spacing w:after="0" w:line="360" w:lineRule="auto"/>
        <w:jc w:val="both"/>
        <w:rPr>
          <w:rFonts w:ascii="Arial" w:eastAsia="Times New Roman" w:hAnsi="Arial" w:cs="David"/>
          <w:sz w:val="24"/>
          <w:szCs w:val="24"/>
          <w:rtl/>
        </w:rPr>
      </w:pPr>
    </w:p>
    <w:p w:rsidR="00673B06" w:rsidRPr="00673B06" w:rsidRDefault="00673B06" w:rsidP="00673B06">
      <w:pPr>
        <w:spacing w:after="0" w:line="360" w:lineRule="auto"/>
        <w:jc w:val="both"/>
        <w:rPr>
          <w:rFonts w:ascii="Arial" w:eastAsia="Times New Roman" w:hAnsi="Arial" w:cs="David"/>
          <w:sz w:val="24"/>
          <w:szCs w:val="24"/>
          <w:rtl/>
        </w:rPr>
      </w:pPr>
      <w:r w:rsidRPr="00673B06">
        <w:rPr>
          <w:rFonts w:ascii="Arial" w:eastAsia="Times New Roman" w:hAnsi="Arial" w:cs="David"/>
          <w:sz w:val="24"/>
          <w:szCs w:val="24"/>
          <w:rtl/>
        </w:rPr>
        <w:t>נית</w:t>
      </w:r>
      <w:r w:rsidRPr="00673B06">
        <w:rPr>
          <w:rFonts w:ascii="Arial" w:eastAsia="Times New Roman" w:hAnsi="Arial" w:cs="David" w:hint="cs"/>
          <w:sz w:val="24"/>
          <w:szCs w:val="24"/>
          <w:rtl/>
        </w:rPr>
        <w:t>נה</w:t>
      </w:r>
      <w:r w:rsidRPr="00673B06">
        <w:rPr>
          <w:rFonts w:ascii="Arial" w:eastAsia="Times New Roman" w:hAnsi="Arial" w:cs="David"/>
          <w:sz w:val="24"/>
          <w:szCs w:val="24"/>
          <w:rtl/>
        </w:rPr>
        <w:t xml:space="preserve"> היום, </w:t>
      </w:r>
      <w:sdt>
        <w:sdtPr>
          <w:rPr>
            <w:rFonts w:ascii="Times New Roman" w:eastAsia="Times New Roman" w:hAnsi="Times New Roman" w:cs="David"/>
            <w:noProof/>
            <w:sz w:val="24"/>
            <w:szCs w:val="24"/>
            <w:rtl/>
          </w:rPr>
          <w:alias w:val="1455"/>
          <w:tag w:val="1455"/>
          <w:id w:val="1666048407"/>
          <w:text w:multiLine="1"/>
        </w:sdtPr>
        <w:sdtEndPr/>
        <w:sdtContent>
          <w:r w:rsidRPr="00673B06">
            <w:rPr>
              <w:rFonts w:ascii="Times New Roman" w:eastAsia="Times New Roman" w:hAnsi="Times New Roman" w:cs="David"/>
              <w:noProof/>
              <w:sz w:val="24"/>
              <w:szCs w:val="24"/>
              <w:rtl/>
            </w:rPr>
            <w:t>ט"ו תמוז תשפ"ד</w:t>
          </w:r>
        </w:sdtContent>
      </w:sdt>
      <w:r w:rsidRPr="00673B06">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86288958"/>
          <w:text w:multiLine="1"/>
        </w:sdtPr>
        <w:sdtEndPr/>
        <w:sdtContent>
          <w:r w:rsidRPr="00673B06">
            <w:rPr>
              <w:rFonts w:ascii="Times New Roman" w:eastAsia="Times New Roman" w:hAnsi="Times New Roman" w:cs="David"/>
              <w:noProof/>
              <w:sz w:val="24"/>
              <w:szCs w:val="24"/>
              <w:rtl/>
            </w:rPr>
            <w:t>21 יולי 2024</w:t>
          </w:r>
        </w:sdtContent>
      </w:sdt>
      <w:r w:rsidRPr="00673B06">
        <w:rPr>
          <w:rFonts w:ascii="Arial" w:eastAsia="Times New Roman" w:hAnsi="Arial" w:cs="David"/>
          <w:sz w:val="24"/>
          <w:szCs w:val="24"/>
          <w:rtl/>
        </w:rPr>
        <w:t>, בהעדר הצדדים.</w:t>
      </w:r>
    </w:p>
    <w:p w:rsidR="00673B06" w:rsidRPr="00673B06" w:rsidRDefault="001340AB" w:rsidP="00673B06">
      <w:pPr>
        <w:tabs>
          <w:tab w:val="left" w:pos="2553"/>
        </w:tabs>
        <w:spacing w:after="0" w:line="240" w:lineRule="auto"/>
        <w:ind w:left="5040"/>
        <w:rPr>
          <w:rFonts w:ascii="Times New Roman" w:eastAsia="Times New Roman" w:hAnsi="Times New Roman" w:cs="David"/>
          <w:noProof/>
          <w:sz w:val="24"/>
          <w:szCs w:val="24"/>
          <w:rtl/>
        </w:rPr>
      </w:pPr>
      <w:sdt>
        <w:sdtPr>
          <w:rPr>
            <w:rFonts w:ascii="Times New Roman" w:eastAsia="Times New Roman" w:hAnsi="Times New Roman" w:cs="David" w:hint="cs"/>
            <w:noProof/>
            <w:sz w:val="24"/>
            <w:szCs w:val="24"/>
            <w:rtl/>
          </w:rPr>
          <w:alias w:val="2045"/>
          <w:tag w:val="2045"/>
          <w:id w:val="740689340"/>
          <w:placeholder>
            <w:docPart w:val="4CD15A43DFB946DEA8749C3DDC686E1E"/>
          </w:placeholder>
          <w:showingPlcHdr/>
          <w:text w:multiLine="1"/>
        </w:sdtPr>
        <w:sdtEndPr/>
        <w:sdtContent>
          <w:r w:rsidR="00673B06" w:rsidRPr="00673B06">
            <w:rPr>
              <w:rFonts w:ascii="Times New Roman" w:eastAsia="Times New Roman" w:hAnsi="Times New Roman" w:cs="David" w:hint="cs"/>
              <w:noProof/>
              <w:sz w:val="24"/>
              <w:szCs w:val="24"/>
              <w:rtl/>
            </w:rPr>
            <w:t xml:space="preserve">     </w:t>
          </w:r>
        </w:sdtContent>
      </w:sdt>
    </w:p>
    <w:p w:rsidR="00673B06" w:rsidRPr="00673B06" w:rsidRDefault="00673B06" w:rsidP="00673B06">
      <w:pPr>
        <w:tabs>
          <w:tab w:val="left" w:pos="2553"/>
        </w:tabs>
        <w:spacing w:after="0" w:line="240" w:lineRule="auto"/>
        <w:rPr>
          <w:rFonts w:ascii="Times New Roman" w:eastAsia="Times New Roman" w:hAnsi="Times New Roman" w:cs="David"/>
          <w:noProof/>
          <w:sz w:val="24"/>
          <w:szCs w:val="24"/>
        </w:rPr>
      </w:pPr>
      <w:r w:rsidRPr="00673B06">
        <w:rPr>
          <w:rFonts w:ascii="Times New Roman" w:eastAsia="Times New Roman" w:hAnsi="Times New Roman" w:cs="David" w:hint="cs"/>
          <w:noProof/>
          <w:sz w:val="24"/>
          <w:szCs w:val="24"/>
          <w:rtl/>
        </w:rPr>
        <w:tab/>
      </w:r>
      <w:r w:rsidRPr="00673B06">
        <w:rPr>
          <w:rFonts w:ascii="Times New Roman" w:eastAsia="Times New Roman" w:hAnsi="Times New Roman" w:cs="David" w:hint="cs"/>
          <w:noProof/>
          <w:sz w:val="24"/>
          <w:szCs w:val="24"/>
          <w:rtl/>
        </w:rPr>
        <w:tab/>
      </w:r>
      <w:r w:rsidRPr="00673B06">
        <w:rPr>
          <w:rFonts w:ascii="Times New Roman" w:eastAsia="Times New Roman" w:hAnsi="Times New Roman" w:cs="David" w:hint="cs"/>
          <w:noProof/>
          <w:sz w:val="24"/>
          <w:szCs w:val="24"/>
          <w:rtl/>
        </w:rPr>
        <w:tab/>
      </w:r>
      <w:r w:rsidRPr="00673B06">
        <w:rPr>
          <w:rFonts w:ascii="Times New Roman" w:eastAsia="Times New Roman" w:hAnsi="Times New Roman" w:cs="David" w:hint="cs"/>
          <w:noProof/>
          <w:sz w:val="24"/>
          <w:szCs w:val="24"/>
          <w:rtl/>
        </w:rPr>
        <w:tab/>
        <w:t xml:space="preserve">        </w:t>
      </w:r>
      <w:sdt>
        <w:sdtPr>
          <w:rPr>
            <w:rFonts w:ascii="Times New Roman" w:eastAsia="Times New Roman" w:hAnsi="Times New Roman" w:cs="David"/>
            <w:noProof/>
            <w:sz w:val="24"/>
            <w:szCs w:val="24"/>
            <w:rtl/>
          </w:rPr>
          <w:alias w:val="MergeField"/>
          <w:tag w:val="1237"/>
          <w:id w:val="73873077"/>
        </w:sdtPr>
        <w:sdtEndPr/>
        <w:sdtContent>
          <w:r w:rsidRPr="00673B06">
            <w:rPr>
              <w:rFonts w:ascii="Times New Roman" w:eastAsia="Times New Roman" w:hAnsi="Times New Roman" w:cs="David"/>
              <w:noProof/>
              <w:sz w:val="24"/>
              <w:szCs w:val="24"/>
            </w:rPr>
            <w:drawing>
              <wp:inline distT="0" distB="0" distL="0" distR="0" wp14:anchorId="4D004E64" wp14:editId="1FCC4259">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666875" cy="1047750"/>
                        </a:xfrm>
                        <a:prstGeom prst="rect">
                          <a:avLst/>
                        </a:prstGeom>
                      </pic:spPr>
                    </pic:pic>
                  </a:graphicData>
                </a:graphic>
              </wp:inline>
            </w:drawing>
          </w:r>
        </w:sdtContent>
      </w:sdt>
    </w:p>
    <w:p w:rsidR="00673B06" w:rsidRPr="00673B06" w:rsidRDefault="00673B06" w:rsidP="00673B06">
      <w:pPr>
        <w:tabs>
          <w:tab w:val="left" w:pos="2553"/>
        </w:tabs>
        <w:spacing w:after="0" w:line="240" w:lineRule="auto"/>
        <w:rPr>
          <w:rFonts w:ascii="Arial" w:eastAsia="Times New Roman" w:hAnsi="Arial" w:cs="David"/>
          <w:sz w:val="24"/>
          <w:szCs w:val="24"/>
          <w:rtl/>
        </w:rPr>
      </w:pPr>
    </w:p>
    <w:p w:rsidR="00845A63" w:rsidRDefault="00845A63"/>
    <w:sectPr w:rsidR="00845A63"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B06"/>
    <w:rsid w:val="001340AB"/>
    <w:rsid w:val="00673B06"/>
    <w:rsid w:val="00845A63"/>
    <w:rsid w:val="00897C8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E50700-48A1-456F-BC01-6E8E72EC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3B0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128A1DD4FB430B92ACAB5D285711F4"/>
        <w:category>
          <w:name w:val="כללי"/>
          <w:gallery w:val="placeholder"/>
        </w:category>
        <w:types>
          <w:type w:val="bbPlcHdr"/>
        </w:types>
        <w:behaviors>
          <w:behavior w:val="content"/>
        </w:behaviors>
        <w:guid w:val="{933104CD-A046-4508-AFCB-AF19360A8FCA}"/>
      </w:docPartPr>
      <w:docPartBody>
        <w:p w:rsidR="00FA7629" w:rsidRDefault="00F1415B" w:rsidP="00F1415B">
          <w:pPr>
            <w:pStyle w:val="53128A1DD4FB430B92ACAB5D285711F4"/>
          </w:pPr>
          <w:r w:rsidRPr="00CD516B">
            <w:rPr>
              <w:rFonts w:ascii="Arial" w:hAnsi="Arial"/>
              <w:b/>
              <w:bCs/>
              <w:sz w:val="26"/>
              <w:szCs w:val="26"/>
              <w:rtl/>
            </w:rPr>
            <w:t>שם צד א' ללא שם של חסוי</w:t>
          </w:r>
        </w:p>
      </w:docPartBody>
    </w:docPart>
    <w:docPart>
      <w:docPartPr>
        <w:name w:val="F41E0ABEC7B24983A7B930A94A86C20B"/>
        <w:category>
          <w:name w:val="כללי"/>
          <w:gallery w:val="placeholder"/>
        </w:category>
        <w:types>
          <w:type w:val="bbPlcHdr"/>
        </w:types>
        <w:behaviors>
          <w:behavior w:val="content"/>
        </w:behaviors>
        <w:guid w:val="{D3635FB8-1A5D-4589-97A4-AFD272510931}"/>
      </w:docPartPr>
      <w:docPartBody>
        <w:p w:rsidR="00FA7629" w:rsidRDefault="00F1415B" w:rsidP="00F1415B">
          <w:pPr>
            <w:pStyle w:val="F41E0ABEC7B24983A7B930A94A86C20B"/>
          </w:pPr>
          <w:r w:rsidRPr="00CD516B">
            <w:rPr>
              <w:rFonts w:ascii="Arial" w:hAnsi="Arial"/>
              <w:b/>
              <w:bCs/>
              <w:sz w:val="26"/>
              <w:szCs w:val="26"/>
              <w:rtl/>
            </w:rPr>
            <w:t>שם צד ב' ללא שם של חסוי</w:t>
          </w:r>
        </w:p>
      </w:docPartBody>
    </w:docPart>
    <w:docPart>
      <w:docPartPr>
        <w:name w:val="4CD15A43DFB946DEA8749C3DDC686E1E"/>
        <w:category>
          <w:name w:val="כללי"/>
          <w:gallery w:val="placeholder"/>
        </w:category>
        <w:types>
          <w:type w:val="bbPlcHdr"/>
        </w:types>
        <w:behaviors>
          <w:behavior w:val="content"/>
        </w:behaviors>
        <w:guid w:val="{D2DD6F97-4E62-4F6F-954F-50BB3B761B1E}"/>
      </w:docPartPr>
      <w:docPartBody>
        <w:p w:rsidR="00FA7629" w:rsidRDefault="00F1415B" w:rsidP="00F1415B">
          <w:pPr>
            <w:pStyle w:val="4CD15A43DFB946DEA8749C3DDC686E1E"/>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15B"/>
    <w:rsid w:val="00C546B7"/>
    <w:rsid w:val="00CC391B"/>
    <w:rsid w:val="00F1415B"/>
    <w:rsid w:val="00FA76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3128A1DD4FB430B92ACAB5D285711F4">
    <w:name w:val="53128A1DD4FB430B92ACAB5D285711F4"/>
    <w:rsid w:val="00F1415B"/>
    <w:pPr>
      <w:bidi/>
    </w:pPr>
  </w:style>
  <w:style w:type="paragraph" w:customStyle="1" w:styleId="F41E0ABEC7B24983A7B930A94A86C20B">
    <w:name w:val="F41E0ABEC7B24983A7B930A94A86C20B"/>
    <w:rsid w:val="00F1415B"/>
    <w:pPr>
      <w:bidi/>
    </w:pPr>
  </w:style>
  <w:style w:type="paragraph" w:customStyle="1" w:styleId="4CD15A43DFB946DEA8749C3DDC686E1E">
    <w:name w:val="4CD15A43DFB946DEA8749C3DDC686E1E"/>
    <w:rsid w:val="00F1415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2337</Words>
  <Characters>11688</Characters>
  <Application>Microsoft Office Word</Application>
  <DocSecurity>0</DocSecurity>
  <Lines>97</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נעה בקר</cp:lastModifiedBy>
  <cp:revision>2</cp:revision>
  <dcterms:created xsi:type="dcterms:W3CDTF">2024-07-21T12:51:00Z</dcterms:created>
  <dcterms:modified xsi:type="dcterms:W3CDTF">2024-07-21T12:51:00Z</dcterms:modified>
</cp:coreProperties>
</file>